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94F3" w14:textId="60CE6AF5" w:rsidR="00576A0F" w:rsidRDefault="00805A90" w:rsidP="001A2F64">
      <w:pPr>
        <w:pStyle w:val="DescriptororName"/>
        <w:spacing w:after="720"/>
        <w:ind w:right="0"/>
      </w:pPr>
      <w:r w:rsidRPr="007B5D0F">
        <w:rPr>
          <w:noProof/>
        </w:rPr>
        <w:drawing>
          <wp:inline distT="0" distB="0" distL="0" distR="0" wp14:anchorId="3C40677A" wp14:editId="7AF0420E">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r>
        <w:tab/>
      </w:r>
    </w:p>
    <w:bookmarkStart w:id="0" w:name="_Hlk128557936"/>
    <w:p w14:paraId="4F39FFA6" w14:textId="6DA5F25B" w:rsidR="002F3AF2" w:rsidRPr="00F3338E" w:rsidRDefault="00000000" w:rsidP="002F3AF2">
      <w:pPr>
        <w:pStyle w:val="DocumentType"/>
        <w:spacing w:before="360"/>
      </w:pPr>
      <w:sdt>
        <w:sdtPr>
          <w:id w:val="-1982835863"/>
          <w:lock w:val="sdtLocked"/>
          <w:placeholder>
            <w:docPart w:val="2E7C5EFF51534A18B57122D7DA06CE3C"/>
          </w:placeholder>
        </w:sdtPr>
        <w:sdtContent>
          <w:r w:rsidR="00924741">
            <w:t>NSW Homelessness Strategy 202</w:t>
          </w:r>
          <w:r w:rsidR="00CF3EA3">
            <w:t>5</w:t>
          </w:r>
          <w:r w:rsidR="00924741">
            <w:t>-203</w:t>
          </w:r>
          <w:r w:rsidR="00CF3EA3">
            <w:t>5</w:t>
          </w:r>
          <w:r w:rsidR="00924741">
            <w:t xml:space="preserve">                                             </w:t>
          </w:r>
        </w:sdtContent>
      </w:sdt>
      <w:r w:rsidR="002F3AF2">
        <w:t xml:space="preserve"> </w:t>
      </w:r>
    </w:p>
    <w:p w14:paraId="7F1172AF" w14:textId="1A83568A" w:rsidR="000A739E" w:rsidRPr="000F36A1" w:rsidRDefault="00000000" w:rsidP="000F36A1">
      <w:pPr>
        <w:pStyle w:val="Title"/>
      </w:pPr>
      <w:sdt>
        <w:sdtPr>
          <w:alias w:val="Title"/>
          <w:tag w:val="Title"/>
          <w:id w:val="-1665233913"/>
          <w:lock w:val="sdtLocked"/>
          <w:placeholder>
            <w:docPart w:val="514AA35606734FCB8BC652B5E209FF52"/>
          </w:placeholder>
          <w:dataBinding w:prefixMappings="xmlns:ns0='http://purl.org/dc/elements/1.1/' xmlns:ns1='http://schemas.openxmlformats.org/package/2006/metadata/core-properties' " w:xpath="/ns1:coreProperties[1]/ns0:title[1]" w:storeItemID="{6C3C8BC8-F283-45AE-878A-BAB7291924A1}"/>
          <w:text/>
        </w:sdtPr>
        <w:sdtContent>
          <w:r w:rsidR="00E1761B">
            <w:t>Fact Sheet #</w:t>
          </w:r>
          <w:r w:rsidR="001A2F64">
            <w:t>1</w:t>
          </w:r>
          <w:r w:rsidR="00E1761B">
            <w:t>: Respecting the diversity of homeless experiences</w:t>
          </w:r>
        </w:sdtContent>
      </w:sdt>
      <w:r w:rsidR="009A49C9" w:rsidRPr="000F36A1">
        <w:t xml:space="preserve"> </w:t>
      </w:r>
    </w:p>
    <w:p w14:paraId="3C6343BE" w14:textId="3DBE0FA2" w:rsidR="00E046F9" w:rsidRPr="00E046F9" w:rsidRDefault="00A273DB" w:rsidP="00CF4886">
      <w:pPr>
        <w:pStyle w:val="Date"/>
        <w:rPr>
          <w:lang w:eastAsia="en-US"/>
        </w:rPr>
      </w:pPr>
      <w:r>
        <w:t>Novem</w:t>
      </w:r>
      <w:r w:rsidR="000A1E91">
        <w:t>b</w:t>
      </w:r>
      <w:r>
        <w:t>er</w:t>
      </w:r>
      <w:r w:rsidR="00CF4886">
        <w:t xml:space="preserve"> 2024</w:t>
      </w:r>
      <w:bookmarkEnd w:id="0"/>
    </w:p>
    <w:p w14:paraId="472AAB49" w14:textId="4934F7E5" w:rsidR="007878A2" w:rsidRDefault="00CF4886" w:rsidP="00E73460">
      <w:pPr>
        <w:pStyle w:val="Heading1"/>
      </w:pPr>
      <w:r>
        <w:t>Introduction</w:t>
      </w:r>
    </w:p>
    <w:p w14:paraId="2097673A" w14:textId="03FA8AEC" w:rsidR="00CF4886" w:rsidRDefault="001A2F64" w:rsidP="00A308AA">
      <w:pPr>
        <w:pStyle w:val="BodyText"/>
      </w:pPr>
      <w:r>
        <w:t xml:space="preserve">Homelessness is not a personal failing. </w:t>
      </w:r>
      <w:r w:rsidR="00CF4886" w:rsidRPr="00CF4886">
        <w:t>Anyone can be at risk of or experience homelessness, but we know that some people are more likely to experience it than others, and some face additional challenges</w:t>
      </w:r>
      <w:r w:rsidR="00BA634E">
        <w:t xml:space="preserve"> accessing support</w:t>
      </w:r>
      <w:r w:rsidR="00CF4886" w:rsidRPr="00CF4886">
        <w:t xml:space="preserve">. </w:t>
      </w:r>
    </w:p>
    <w:p w14:paraId="42F217A0" w14:textId="378AF906" w:rsidR="00F1608C" w:rsidRDefault="00D173EE" w:rsidP="00F1608C">
      <w:pPr>
        <w:pStyle w:val="BodyText"/>
      </w:pPr>
      <w:bookmarkStart w:id="1" w:name="_Hlk180756944"/>
      <w:r w:rsidRPr="0072246F">
        <w:rPr>
          <w:rFonts w:eastAsia="Times New Roman" w:cs="Arial"/>
          <w:color w:val="auto"/>
          <w:lang w:eastAsia="en-US"/>
        </w:rPr>
        <w:t>Structural drivers create an environment where homelessness can happen</w:t>
      </w:r>
      <w:r w:rsidR="00F1608C" w:rsidRPr="009A68F3">
        <w:t xml:space="preserve">. </w:t>
      </w:r>
      <w:r w:rsidR="00F1608C">
        <w:t>S</w:t>
      </w:r>
      <w:r w:rsidR="00F1608C" w:rsidRPr="009A68F3">
        <w:t xml:space="preserve">tructural drivers include </w:t>
      </w:r>
      <w:r w:rsidR="00F1608C">
        <w:t>low</w:t>
      </w:r>
      <w:r w:rsidR="00F1608C" w:rsidRPr="009A68F3">
        <w:t xml:space="preserve"> income, housing availability and affordability, economic and employment opportunities and discrimination. </w:t>
      </w:r>
      <w:bookmarkEnd w:id="1"/>
      <w:r w:rsidR="001A2F64">
        <w:t xml:space="preserve"> </w:t>
      </w:r>
      <w:r w:rsidR="006627C3">
        <w:t>Where structural drivers exist</w:t>
      </w:r>
      <w:r w:rsidR="00F1608C" w:rsidRPr="009A68F3">
        <w:t xml:space="preserve">, homelessness </w:t>
      </w:r>
      <w:r w:rsidR="00454279">
        <w:t>can be triggered by</w:t>
      </w:r>
      <w:r w:rsidR="00F1608C" w:rsidRPr="009A68F3">
        <w:t xml:space="preserve"> mental ill health, poor physical health, drug and alcohol use and critical life events, such as </w:t>
      </w:r>
      <w:r w:rsidR="000A1E91">
        <w:t>domestic and family violence</w:t>
      </w:r>
      <w:r w:rsidR="00F1608C" w:rsidRPr="009A68F3">
        <w:rPr>
          <w:rStyle w:val="EndnoteReference"/>
        </w:rPr>
        <w:endnoteReference w:id="1"/>
      </w:r>
      <w:r w:rsidR="00F1608C">
        <w:t xml:space="preserve"> and trauma.</w:t>
      </w:r>
      <w:r w:rsidR="00F1608C" w:rsidRPr="009A68F3">
        <w:t xml:space="preserve"> Together, these </w:t>
      </w:r>
      <w:r w:rsidR="00545D01">
        <w:t>factors</w:t>
      </w:r>
      <w:r w:rsidR="00F1608C" w:rsidRPr="009A68F3">
        <w:t xml:space="preserve"> influence the extent to which homelessness occurs in the first place, and the nature of the experience</w:t>
      </w:r>
      <w:r w:rsidR="00D62813">
        <w:rPr>
          <w:rStyle w:val="EndnoteReference"/>
        </w:rPr>
        <w:endnoteReference w:id="2"/>
      </w:r>
      <w:r w:rsidR="00F1608C" w:rsidRPr="009A68F3">
        <w:t xml:space="preserve">. </w:t>
      </w:r>
    </w:p>
    <w:p w14:paraId="500D8940" w14:textId="51F34EBE" w:rsidR="00F1608C" w:rsidRPr="00F1608C" w:rsidRDefault="00F1608C" w:rsidP="00F1608C">
      <w:pPr>
        <w:pStyle w:val="BodyText"/>
      </w:pPr>
      <w:r w:rsidRPr="00F1608C">
        <w:t xml:space="preserve">As shown in </w:t>
      </w:r>
      <w:r w:rsidRPr="004E2A2B">
        <w:rPr>
          <w:b/>
          <w:bCs/>
        </w:rPr>
        <w:t>Figure 1</w:t>
      </w:r>
      <w:r w:rsidRPr="00F1608C">
        <w:t xml:space="preserve"> </w:t>
      </w:r>
      <w:r w:rsidR="00B01464">
        <w:t>on page 2</w:t>
      </w:r>
      <w:r w:rsidRPr="00F1608C">
        <w:t xml:space="preserve">, people who experience discrimination, disadvantage, and barriers to access are overrepresented in homelessness data. These groups are at greater risk of experiencing homelessness and their experiences of homelessness are often more severe. </w:t>
      </w:r>
    </w:p>
    <w:p w14:paraId="4AF9F280" w14:textId="53B65A68" w:rsidR="00F1608C" w:rsidRPr="00CF2D18" w:rsidRDefault="00F1608C" w:rsidP="00CF2D18">
      <w:pPr>
        <w:pStyle w:val="Heading2"/>
        <w:rPr>
          <w:rStyle w:val="Strong"/>
          <w:b w:val="0"/>
          <w:bCs w:val="0"/>
        </w:rPr>
      </w:pPr>
      <w:r w:rsidRPr="00CF2D18">
        <w:rPr>
          <w:rStyle w:val="Strong"/>
          <w:b w:val="0"/>
          <w:bCs w:val="0"/>
        </w:rPr>
        <w:t>Children and young people</w:t>
      </w:r>
    </w:p>
    <w:p w14:paraId="7230172E" w14:textId="62BE8F04" w:rsidR="00F1608C" w:rsidRPr="00F1608C" w:rsidRDefault="00F1608C" w:rsidP="00F1608C">
      <w:pPr>
        <w:pStyle w:val="ListBullet"/>
        <w:numPr>
          <w:ilvl w:val="0"/>
          <w:numId w:val="31"/>
        </w:numPr>
        <w:rPr>
          <w:color w:val="auto"/>
        </w:rPr>
      </w:pPr>
      <w:r w:rsidRPr="00F1608C">
        <w:rPr>
          <w:rStyle w:val="Strong"/>
          <w:b w:val="0"/>
          <w:bCs w:val="0"/>
          <w:color w:val="auto"/>
        </w:rPr>
        <w:t>Young people in NSW make up 19 per cent of all people presenting to S</w:t>
      </w:r>
      <w:r w:rsidR="00DE00E9">
        <w:rPr>
          <w:rStyle w:val="Strong"/>
          <w:b w:val="0"/>
          <w:bCs w:val="0"/>
          <w:color w:val="auto"/>
        </w:rPr>
        <w:t xml:space="preserve">pecialist </w:t>
      </w:r>
      <w:r w:rsidRPr="00F1608C">
        <w:rPr>
          <w:rStyle w:val="Strong"/>
          <w:b w:val="0"/>
          <w:bCs w:val="0"/>
          <w:color w:val="auto"/>
        </w:rPr>
        <w:t>H</w:t>
      </w:r>
      <w:r w:rsidR="00DE00E9">
        <w:rPr>
          <w:rStyle w:val="Strong"/>
          <w:b w:val="0"/>
          <w:bCs w:val="0"/>
          <w:color w:val="auto"/>
        </w:rPr>
        <w:t xml:space="preserve">omelessness </w:t>
      </w:r>
      <w:r w:rsidRPr="00F1608C">
        <w:rPr>
          <w:rStyle w:val="Strong"/>
          <w:b w:val="0"/>
          <w:bCs w:val="0"/>
          <w:color w:val="auto"/>
        </w:rPr>
        <w:t>S</w:t>
      </w:r>
      <w:r w:rsidR="00DE00E9">
        <w:rPr>
          <w:rStyle w:val="Strong"/>
          <w:b w:val="0"/>
          <w:bCs w:val="0"/>
          <w:color w:val="auto"/>
        </w:rPr>
        <w:t>ervices</w:t>
      </w:r>
      <w:r w:rsidR="00682535">
        <w:rPr>
          <w:rStyle w:val="Strong"/>
          <w:b w:val="0"/>
          <w:bCs w:val="0"/>
          <w:color w:val="auto"/>
        </w:rPr>
        <w:t xml:space="preserve"> (SHS)</w:t>
      </w:r>
      <w:r w:rsidRPr="00F1608C">
        <w:rPr>
          <w:rStyle w:val="Strong"/>
          <w:b w:val="0"/>
          <w:bCs w:val="0"/>
          <w:color w:val="auto"/>
        </w:rPr>
        <w:t xml:space="preserve">. Of these individuals, 32 per cent are </w:t>
      </w:r>
      <w:r w:rsidR="000A1E91">
        <w:rPr>
          <w:rStyle w:val="Strong"/>
          <w:b w:val="0"/>
          <w:bCs w:val="0"/>
          <w:color w:val="auto"/>
        </w:rPr>
        <w:t>Aboriginal</w:t>
      </w:r>
      <w:r w:rsidRPr="00F1608C">
        <w:rPr>
          <w:rStyle w:val="Strong"/>
          <w:b w:val="0"/>
          <w:bCs w:val="0"/>
          <w:color w:val="auto"/>
        </w:rPr>
        <w:t xml:space="preserve"> and 69 per cent were not enrolled in any form of education or training. </w:t>
      </w:r>
    </w:p>
    <w:p w14:paraId="03DC408B" w14:textId="1F8BBF2B" w:rsidR="003965D2" w:rsidRDefault="00F1608C" w:rsidP="00D30627">
      <w:pPr>
        <w:pStyle w:val="ListBullet"/>
        <w:numPr>
          <w:ilvl w:val="0"/>
          <w:numId w:val="31"/>
        </w:numPr>
        <w:rPr>
          <w:rStyle w:val="Strong"/>
          <w:b w:val="0"/>
          <w:bCs w:val="0"/>
        </w:rPr>
      </w:pPr>
      <w:r w:rsidRPr="00D30627">
        <w:rPr>
          <w:rStyle w:val="Strong"/>
          <w:b w:val="0"/>
          <w:bCs w:val="0"/>
        </w:rPr>
        <w:t xml:space="preserve">Children and young people have diverse experiences of homelessness. They may accompany a parent or be on their own. </w:t>
      </w:r>
      <w:r w:rsidR="003965D2" w:rsidRPr="00D30627">
        <w:rPr>
          <w:rStyle w:val="Strong"/>
          <w:b w:val="0"/>
          <w:bCs w:val="0"/>
        </w:rPr>
        <w:t xml:space="preserve">They may be escaping domestic and family violence or family breakdown, have children themselves or be managing issues arising from mental health, alcohol and other drugs, </w:t>
      </w:r>
      <w:r w:rsidR="003965D2">
        <w:rPr>
          <w:rStyle w:val="Strong"/>
          <w:b w:val="0"/>
          <w:bCs w:val="0"/>
        </w:rPr>
        <w:t xml:space="preserve">have a disability or discrimination related to </w:t>
      </w:r>
      <w:r w:rsidR="003965D2" w:rsidRPr="00D30627">
        <w:rPr>
          <w:rStyle w:val="Strong"/>
          <w:b w:val="0"/>
          <w:bCs w:val="0"/>
        </w:rPr>
        <w:t>culture</w:t>
      </w:r>
      <w:r w:rsidR="003965D2">
        <w:rPr>
          <w:rStyle w:val="Strong"/>
          <w:b w:val="0"/>
          <w:bCs w:val="0"/>
        </w:rPr>
        <w:t>, sexuality</w:t>
      </w:r>
      <w:r w:rsidR="003965D2" w:rsidRPr="00D30627">
        <w:rPr>
          <w:rStyle w:val="Strong"/>
          <w:b w:val="0"/>
          <w:bCs w:val="0"/>
        </w:rPr>
        <w:t xml:space="preserve"> or gender.</w:t>
      </w:r>
    </w:p>
    <w:p w14:paraId="21920C56" w14:textId="4F318D57" w:rsidR="00F1608C" w:rsidRPr="00D30627" w:rsidRDefault="003965D2" w:rsidP="00D30627">
      <w:pPr>
        <w:pStyle w:val="ListBullet"/>
        <w:numPr>
          <w:ilvl w:val="0"/>
          <w:numId w:val="31"/>
        </w:numPr>
        <w:rPr>
          <w:rStyle w:val="Strong"/>
          <w:b w:val="0"/>
          <w:bCs w:val="0"/>
        </w:rPr>
      </w:pPr>
      <w:r>
        <w:rPr>
          <w:rStyle w:val="Strong"/>
          <w:b w:val="0"/>
          <w:bCs w:val="0"/>
        </w:rPr>
        <w:t xml:space="preserve">Children and young people who have </w:t>
      </w:r>
      <w:r w:rsidR="00F1608C" w:rsidRPr="00D30627">
        <w:rPr>
          <w:rStyle w:val="Strong"/>
          <w:b w:val="0"/>
          <w:bCs w:val="0"/>
        </w:rPr>
        <w:t>had contact with out of home care or youth justice</w:t>
      </w:r>
      <w:r>
        <w:rPr>
          <w:rStyle w:val="Strong"/>
          <w:b w:val="0"/>
          <w:bCs w:val="0"/>
        </w:rPr>
        <w:t xml:space="preserve"> can experience higher rates of homelessness</w:t>
      </w:r>
      <w:r w:rsidR="00F1608C" w:rsidRPr="00D30627">
        <w:rPr>
          <w:rStyle w:val="Strong"/>
          <w:b w:val="0"/>
          <w:bCs w:val="0"/>
        </w:rPr>
        <w:t xml:space="preserve">. </w:t>
      </w:r>
      <w:r w:rsidR="00BA634E">
        <w:rPr>
          <w:color w:val="auto"/>
        </w:rPr>
        <w:t>Seventeen</w:t>
      </w:r>
      <w:r w:rsidR="00BA634E" w:rsidRPr="00F1608C">
        <w:rPr>
          <w:color w:val="auto"/>
        </w:rPr>
        <w:t xml:space="preserve"> per cent of</w:t>
      </w:r>
      <w:r w:rsidR="00BA634E">
        <w:rPr>
          <w:color w:val="auto"/>
        </w:rPr>
        <w:t xml:space="preserve"> out-of-home care</w:t>
      </w:r>
      <w:r w:rsidR="00BA634E" w:rsidRPr="00F1608C">
        <w:rPr>
          <w:color w:val="auto"/>
        </w:rPr>
        <w:t xml:space="preserve"> leavers access homelessness services within a year of leaving care</w:t>
      </w:r>
      <w:r w:rsidR="00D62813" w:rsidRPr="00F1608C">
        <w:rPr>
          <w:rStyle w:val="EndnoteReference"/>
          <w:color w:val="auto"/>
        </w:rPr>
        <w:endnoteReference w:id="3"/>
      </w:r>
      <w:r w:rsidR="00BA634E" w:rsidRPr="00F1608C">
        <w:rPr>
          <w:color w:val="auto"/>
        </w:rPr>
        <w:t>.</w:t>
      </w:r>
    </w:p>
    <w:p w14:paraId="1383EE31" w14:textId="7BD23340" w:rsidR="00F1608C" w:rsidRDefault="00F1608C" w:rsidP="00D30627">
      <w:pPr>
        <w:pStyle w:val="ListBullet"/>
        <w:numPr>
          <w:ilvl w:val="0"/>
          <w:numId w:val="31"/>
        </w:numPr>
        <w:rPr>
          <w:rStyle w:val="Strong"/>
          <w:b w:val="0"/>
          <w:bCs w:val="0"/>
        </w:rPr>
      </w:pPr>
      <w:r w:rsidRPr="00D30627">
        <w:rPr>
          <w:rStyle w:val="Strong"/>
          <w:b w:val="0"/>
          <w:bCs w:val="0"/>
        </w:rPr>
        <w:t xml:space="preserve">Children and young people have specific needs and strengths at each developmental stage. Those under 16 require guidance and support, </w:t>
      </w:r>
      <w:r w:rsidR="001A2F64">
        <w:rPr>
          <w:rStyle w:val="Strong"/>
          <w:b w:val="0"/>
          <w:bCs w:val="0"/>
        </w:rPr>
        <w:t>while</w:t>
      </w:r>
      <w:r w:rsidRPr="00D30627">
        <w:rPr>
          <w:rStyle w:val="Strong"/>
          <w:b w:val="0"/>
          <w:bCs w:val="0"/>
        </w:rPr>
        <w:t xml:space="preserve"> older teens and young people hav</w:t>
      </w:r>
      <w:r w:rsidR="001A2F64">
        <w:rPr>
          <w:rStyle w:val="Strong"/>
          <w:b w:val="0"/>
          <w:bCs w:val="0"/>
        </w:rPr>
        <w:t>e</w:t>
      </w:r>
      <w:r w:rsidRPr="00D30627">
        <w:rPr>
          <w:rStyle w:val="Strong"/>
          <w:b w:val="0"/>
          <w:bCs w:val="0"/>
        </w:rPr>
        <w:t xml:space="preserve"> increased level</w:t>
      </w:r>
      <w:r w:rsidR="001A2F64">
        <w:rPr>
          <w:rStyle w:val="Strong"/>
          <w:b w:val="0"/>
          <w:bCs w:val="0"/>
        </w:rPr>
        <w:t>s</w:t>
      </w:r>
      <w:r w:rsidRPr="00D30627">
        <w:rPr>
          <w:rStyle w:val="Strong"/>
          <w:b w:val="0"/>
          <w:bCs w:val="0"/>
        </w:rPr>
        <w:t xml:space="preserve"> of independence depending on their experience and circumstances. </w:t>
      </w:r>
    </w:p>
    <w:p w14:paraId="58434D03" w14:textId="438188D6" w:rsidR="003965D2" w:rsidRDefault="003965D2" w:rsidP="00D30627">
      <w:pPr>
        <w:pStyle w:val="ListBullet"/>
        <w:numPr>
          <w:ilvl w:val="0"/>
          <w:numId w:val="31"/>
        </w:numPr>
        <w:rPr>
          <w:rStyle w:val="Strong"/>
          <w:b w:val="0"/>
          <w:bCs w:val="0"/>
        </w:rPr>
      </w:pPr>
      <w:r>
        <w:rPr>
          <w:rStyle w:val="Strong"/>
          <w:b w:val="0"/>
          <w:bCs w:val="0"/>
        </w:rPr>
        <w:t xml:space="preserve">Available supports and assistance are not always appropriate or adequate to meet the needs of young people. </w:t>
      </w:r>
      <w:r>
        <w:rPr>
          <w:rStyle w:val="Strong"/>
          <w:b w:val="0"/>
          <w:bCs w:val="0"/>
          <w:color w:val="auto"/>
        </w:rPr>
        <w:t>A 2021 rental market assessment undertaken by Anglicare found i</w:t>
      </w:r>
      <w:r w:rsidRPr="00F1608C">
        <w:rPr>
          <w:rStyle w:val="Strong"/>
          <w:b w:val="0"/>
          <w:bCs w:val="0"/>
          <w:color w:val="auto"/>
        </w:rPr>
        <w:t>ncome supports for young people (i.e. Youth Allowance) are insufficient to affordably secure any of the properties surveyed</w:t>
      </w:r>
      <w:bookmarkStart w:id="2" w:name="_Ref154146794"/>
      <w:r w:rsidRPr="00F1608C">
        <w:rPr>
          <w:rStyle w:val="EndnoteReference"/>
          <w:color w:val="auto"/>
        </w:rPr>
        <w:endnoteReference w:id="4"/>
      </w:r>
      <w:bookmarkEnd w:id="2"/>
      <w:r w:rsidRPr="00F1608C">
        <w:rPr>
          <w:color w:val="auto"/>
        </w:rPr>
        <w:t>.</w:t>
      </w:r>
    </w:p>
    <w:p w14:paraId="4784EF22" w14:textId="4F127CAF" w:rsidR="00F1608C" w:rsidRDefault="00F1608C" w:rsidP="00F1608C">
      <w:pPr>
        <w:pStyle w:val="Caption"/>
        <w:keepNext/>
      </w:pPr>
      <w:bookmarkStart w:id="3" w:name="_Ref154046426"/>
      <w:r>
        <w:lastRenderedPageBreak/>
        <w:t xml:space="preserve">Figure </w:t>
      </w:r>
      <w:bookmarkEnd w:id="3"/>
      <w:r>
        <w:t xml:space="preserve">1 | </w:t>
      </w:r>
      <w:r w:rsidRPr="00CC3570">
        <w:t>Homelessness and demand for SHS among key cohorts</w:t>
      </w:r>
    </w:p>
    <w:p w14:paraId="51D6B6F4" w14:textId="77777777" w:rsidR="00F1608C" w:rsidRDefault="00F1608C" w:rsidP="00F1608C">
      <w:r>
        <w:rPr>
          <w:noProof/>
        </w:rPr>
        <w:drawing>
          <wp:inline distT="0" distB="0" distL="0" distR="0" wp14:anchorId="3535930C" wp14:editId="15AB8BA3">
            <wp:extent cx="6562725" cy="8641080"/>
            <wp:effectExtent l="0" t="0" r="9525" b="7620"/>
            <wp:docPr id="709671221" name="Picture 709671221" descr="Diagram showing homelessness data and Specialist Homelessness Service use by different groups of people. It also shows the change in data between the 2011 Census and the 2021 Cen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71221" name="Picture 709671221" descr="Diagram showing homelessness data and Specialist Homelessness Service use by different groups of people. It also shows the change in data between the 2011 Census and the 2021 Cens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5891" cy="8645249"/>
                    </a:xfrm>
                    <a:prstGeom prst="rect">
                      <a:avLst/>
                    </a:prstGeom>
                    <a:noFill/>
                  </pic:spPr>
                </pic:pic>
              </a:graphicData>
            </a:graphic>
          </wp:inline>
        </w:drawing>
      </w:r>
    </w:p>
    <w:p w14:paraId="42945F06" w14:textId="77777777" w:rsidR="00F1608C" w:rsidRDefault="00F1608C" w:rsidP="00F1608C">
      <w:pPr>
        <w:pStyle w:val="ListBullet"/>
        <w:numPr>
          <w:ilvl w:val="0"/>
          <w:numId w:val="0"/>
        </w:numPr>
        <w:ind w:left="714" w:hanging="357"/>
        <w:rPr>
          <w:rStyle w:val="Strong"/>
          <w:b w:val="0"/>
          <w:bCs w:val="0"/>
        </w:rPr>
      </w:pPr>
    </w:p>
    <w:p w14:paraId="504C47DA" w14:textId="77777777" w:rsidR="00F1608C" w:rsidRDefault="00F1608C" w:rsidP="00D30627">
      <w:pPr>
        <w:pStyle w:val="Heading2"/>
      </w:pPr>
      <w:r>
        <w:lastRenderedPageBreak/>
        <w:t>Domestic and family violence victim-survivors</w:t>
      </w:r>
    </w:p>
    <w:p w14:paraId="00DB9B07" w14:textId="45290A9C" w:rsidR="001F162D" w:rsidRDefault="00F1608C" w:rsidP="00D30627">
      <w:pPr>
        <w:pStyle w:val="ListBullet"/>
        <w:numPr>
          <w:ilvl w:val="0"/>
          <w:numId w:val="31"/>
        </w:numPr>
        <w:rPr>
          <w:rStyle w:val="Strong"/>
          <w:b w:val="0"/>
          <w:bCs w:val="0"/>
        </w:rPr>
      </w:pPr>
      <w:r w:rsidRPr="00D30627">
        <w:rPr>
          <w:rStyle w:val="Strong"/>
          <w:b w:val="0"/>
          <w:bCs w:val="0"/>
        </w:rPr>
        <w:t xml:space="preserve">Domestic and family violence (DFV) is a key driver of homelessness experienced by women and children, with one-third of people accessing </w:t>
      </w:r>
      <w:r w:rsidR="00D05AF6">
        <w:rPr>
          <w:rStyle w:val="Strong"/>
          <w:b w:val="0"/>
          <w:bCs w:val="0"/>
        </w:rPr>
        <w:t>SHS</w:t>
      </w:r>
      <w:r w:rsidRPr="00D30627">
        <w:rPr>
          <w:rStyle w:val="Strong"/>
          <w:b w:val="0"/>
          <w:bCs w:val="0"/>
        </w:rPr>
        <w:t xml:space="preserve"> reporting </w:t>
      </w:r>
      <w:r w:rsidR="00174CA3" w:rsidRPr="00D30627">
        <w:rPr>
          <w:rStyle w:val="Strong"/>
          <w:b w:val="0"/>
          <w:bCs w:val="0"/>
        </w:rPr>
        <w:t>experienc</w:t>
      </w:r>
      <w:r w:rsidR="00174CA3">
        <w:rPr>
          <w:rStyle w:val="Strong"/>
          <w:b w:val="0"/>
          <w:bCs w:val="0"/>
        </w:rPr>
        <w:t>es of</w:t>
      </w:r>
      <w:r w:rsidR="00174CA3" w:rsidRPr="00D30627">
        <w:rPr>
          <w:rStyle w:val="Strong"/>
          <w:b w:val="0"/>
          <w:bCs w:val="0"/>
        </w:rPr>
        <w:t xml:space="preserve"> </w:t>
      </w:r>
      <w:r w:rsidR="00D76634">
        <w:rPr>
          <w:rStyle w:val="Strong"/>
          <w:b w:val="0"/>
          <w:bCs w:val="0"/>
        </w:rPr>
        <w:t>DFV</w:t>
      </w:r>
      <w:r w:rsidR="00D62813">
        <w:rPr>
          <w:rStyle w:val="EndnoteReference"/>
        </w:rPr>
        <w:endnoteReference w:id="5"/>
      </w:r>
      <w:r w:rsidRPr="00D30627">
        <w:rPr>
          <w:rStyle w:val="Strong"/>
          <w:b w:val="0"/>
          <w:bCs w:val="0"/>
        </w:rPr>
        <w:t xml:space="preserve">. </w:t>
      </w:r>
    </w:p>
    <w:p w14:paraId="68431ACE" w14:textId="6D215DEF" w:rsidR="007C5311" w:rsidRPr="007C5311" w:rsidRDefault="007C5311" w:rsidP="007C5311">
      <w:pPr>
        <w:pStyle w:val="ListBullet"/>
        <w:numPr>
          <w:ilvl w:val="0"/>
          <w:numId w:val="31"/>
        </w:numPr>
      </w:pPr>
      <w:r>
        <w:rPr>
          <w:rStyle w:val="Strong"/>
          <w:b w:val="0"/>
          <w:bCs w:val="0"/>
        </w:rPr>
        <w:t>Some people have unique barriers to accessing support</w:t>
      </w:r>
      <w:r w:rsidRPr="001F1AB6">
        <w:rPr>
          <w:rStyle w:val="Strong"/>
          <w:b w:val="0"/>
          <w:bCs w:val="0"/>
          <w:color w:val="auto"/>
        </w:rPr>
        <w:t xml:space="preserve">. For example, women from culturally and linguistically diverse backgrounds experiencing DFV may face language and communication barriers, </w:t>
      </w:r>
      <w:r w:rsidRPr="001F1AB6">
        <w:rPr>
          <w:rFonts w:cs="Open Sans"/>
          <w:color w:val="auto"/>
        </w:rPr>
        <w:t>distrust of authorities due to pre-settlement experiences and community belief that family and domestic violence issues should be dealt with within the family unit</w:t>
      </w:r>
      <w:r w:rsidR="00D62813">
        <w:rPr>
          <w:rStyle w:val="EndnoteReference"/>
          <w:rFonts w:cs="Open Sans"/>
          <w:color w:val="auto"/>
        </w:rPr>
        <w:endnoteReference w:id="6"/>
      </w:r>
      <w:r>
        <w:rPr>
          <w:rFonts w:cs="Open Sans"/>
          <w:color w:val="auto"/>
        </w:rPr>
        <w:t>.</w:t>
      </w:r>
    </w:p>
    <w:p w14:paraId="597B7F53" w14:textId="26210D64" w:rsidR="002966B6" w:rsidRPr="00D30627" w:rsidRDefault="002966B6" w:rsidP="002966B6">
      <w:pPr>
        <w:pStyle w:val="ListBullet"/>
        <w:numPr>
          <w:ilvl w:val="0"/>
          <w:numId w:val="31"/>
        </w:numPr>
        <w:rPr>
          <w:rStyle w:val="Strong"/>
          <w:b w:val="0"/>
          <w:bCs w:val="0"/>
        </w:rPr>
      </w:pPr>
      <w:r>
        <w:t>The timing of support is critical. Analysis suggests that DFV victim-survivors are most likely to access homelessness services within three months of a DFV victim incident involving police</w:t>
      </w:r>
      <w:r w:rsidR="00D62813">
        <w:rPr>
          <w:rStyle w:val="EndnoteReference"/>
        </w:rPr>
        <w:endnoteReference w:id="7"/>
      </w:r>
      <w:r>
        <w:t>.</w:t>
      </w:r>
      <w:r w:rsidRPr="007C5311">
        <w:rPr>
          <w:rStyle w:val="EndnoteReference"/>
        </w:rPr>
        <w:t xml:space="preserve"> </w:t>
      </w:r>
    </w:p>
    <w:p w14:paraId="71D06B44" w14:textId="77777777" w:rsidR="002966B6" w:rsidRDefault="002966B6" w:rsidP="002966B6">
      <w:pPr>
        <w:pStyle w:val="ListBullet"/>
        <w:numPr>
          <w:ilvl w:val="0"/>
          <w:numId w:val="31"/>
        </w:numPr>
        <w:rPr>
          <w:rStyle w:val="Strong"/>
          <w:b w:val="0"/>
          <w:bCs w:val="0"/>
        </w:rPr>
      </w:pPr>
      <w:r w:rsidRPr="00D30627">
        <w:rPr>
          <w:rStyle w:val="Strong"/>
          <w:b w:val="0"/>
          <w:bCs w:val="0"/>
        </w:rPr>
        <w:t xml:space="preserve">A trauma-informed, </w:t>
      </w:r>
      <w:r>
        <w:rPr>
          <w:rStyle w:val="Strong"/>
          <w:b w:val="0"/>
          <w:bCs w:val="0"/>
        </w:rPr>
        <w:t xml:space="preserve">integrated </w:t>
      </w:r>
      <w:r w:rsidRPr="00D30627">
        <w:rPr>
          <w:rStyle w:val="Strong"/>
          <w:b w:val="0"/>
          <w:bCs w:val="0"/>
        </w:rPr>
        <w:t xml:space="preserve">responsive service system is essential for people experiencing DFV to be able to access safe, appropriate supports and housing quickly. </w:t>
      </w:r>
    </w:p>
    <w:p w14:paraId="41057937" w14:textId="77777777" w:rsidR="00F1608C" w:rsidDel="002C2805" w:rsidRDefault="00F1608C" w:rsidP="00D30627">
      <w:pPr>
        <w:pStyle w:val="Heading2"/>
      </w:pPr>
      <w:r>
        <w:t>Aboriginal and Torres Strait Islander Peoples</w:t>
      </w:r>
    </w:p>
    <w:p w14:paraId="0A080C60" w14:textId="2702AC05" w:rsidR="00F1608C" w:rsidRDefault="00AB0881" w:rsidP="00134A1F">
      <w:pPr>
        <w:pStyle w:val="ListBullet"/>
        <w:numPr>
          <w:ilvl w:val="0"/>
          <w:numId w:val="31"/>
        </w:numPr>
      </w:pPr>
      <w:r w:rsidRPr="00611BB7">
        <w:t xml:space="preserve">Many Aboriginal </w:t>
      </w:r>
      <w:r>
        <w:t>families</w:t>
      </w:r>
      <w:r w:rsidRPr="00611BB7">
        <w:t xml:space="preserve"> experience </w:t>
      </w:r>
      <w:r>
        <w:t>intergenerational</w:t>
      </w:r>
      <w:r w:rsidRPr="00611BB7">
        <w:t xml:space="preserve"> </w:t>
      </w:r>
      <w:r>
        <w:t xml:space="preserve">disadvantage, structural barriers, discrimination and trauma because of past injustices and government policies. This has resulted in </w:t>
      </w:r>
      <w:r w:rsidR="00F1608C">
        <w:t xml:space="preserve">Aboriginal people </w:t>
      </w:r>
      <w:r>
        <w:t xml:space="preserve">being </w:t>
      </w:r>
      <w:r w:rsidR="00F1608C">
        <w:t xml:space="preserve">overrepresented in our service systems, including justice, out of home care and homelessness. </w:t>
      </w:r>
    </w:p>
    <w:p w14:paraId="71CF66BC" w14:textId="3B8EC49F" w:rsidR="00F1608C" w:rsidRPr="00134A1F" w:rsidRDefault="00F1608C" w:rsidP="00134A1F">
      <w:pPr>
        <w:pStyle w:val="ListBullet"/>
        <w:numPr>
          <w:ilvl w:val="0"/>
          <w:numId w:val="31"/>
        </w:numPr>
      </w:pPr>
      <w:r w:rsidRPr="00134A1F">
        <w:t>Aboriginal people make up 31 per cent of all people presenting to SHS in NSW. They are also more likely to experience drivers of homelessness such as DFV (40 times more likely),</w:t>
      </w:r>
      <w:r w:rsidRPr="00134A1F">
        <w:rPr>
          <w:vertAlign w:val="superscript"/>
        </w:rPr>
        <w:endnoteReference w:id="8"/>
      </w:r>
      <w:r w:rsidRPr="00134A1F">
        <w:t xml:space="preserve"> experiences in out-of-home</w:t>
      </w:r>
      <w:r w:rsidR="00734C69" w:rsidRPr="00134A1F">
        <w:t xml:space="preserve"> </w:t>
      </w:r>
      <w:r w:rsidRPr="00134A1F">
        <w:t>care (11 times more likely)</w:t>
      </w:r>
      <w:r w:rsidRPr="00134A1F">
        <w:rPr>
          <w:vertAlign w:val="superscript"/>
        </w:rPr>
        <w:endnoteReference w:id="9"/>
      </w:r>
      <w:r w:rsidRPr="00134A1F">
        <w:rPr>
          <w:vertAlign w:val="superscript"/>
        </w:rPr>
        <w:t xml:space="preserve"> </w:t>
      </w:r>
      <w:r w:rsidRPr="00134A1F">
        <w:t>and experiences in the justice system (14 times the adult imprisonment rate)</w:t>
      </w:r>
      <w:r w:rsidR="00D62813" w:rsidRPr="00134A1F">
        <w:t xml:space="preserve"> </w:t>
      </w:r>
      <w:r w:rsidR="00D62813" w:rsidRPr="00134A1F">
        <w:rPr>
          <w:vertAlign w:val="superscript"/>
        </w:rPr>
        <w:endnoteReference w:id="10"/>
      </w:r>
      <w:r w:rsidRPr="00134A1F">
        <w:t xml:space="preserve">. </w:t>
      </w:r>
    </w:p>
    <w:p w14:paraId="3CA52C6A" w14:textId="60837E51" w:rsidR="00F1608C" w:rsidRDefault="00F1608C" w:rsidP="00134A1F">
      <w:pPr>
        <w:pStyle w:val="ListBullet"/>
        <w:numPr>
          <w:ilvl w:val="0"/>
          <w:numId w:val="31"/>
        </w:numPr>
      </w:pPr>
      <w:r>
        <w:t>These challenges</w:t>
      </w:r>
      <w:r w:rsidRPr="00611BB7">
        <w:t xml:space="preserve"> affect access to safe and affordable housing</w:t>
      </w:r>
      <w:r>
        <w:t>. Aboriginal people can also be particularly affected</w:t>
      </w:r>
      <w:r w:rsidRPr="00611BB7">
        <w:t xml:space="preserve"> by remoteness and overcrowding. </w:t>
      </w:r>
    </w:p>
    <w:p w14:paraId="743A2A7C" w14:textId="23E1E07C" w:rsidR="00CB4254" w:rsidRDefault="0065415F" w:rsidP="00134A1F">
      <w:pPr>
        <w:pStyle w:val="ListBullet"/>
        <w:numPr>
          <w:ilvl w:val="0"/>
          <w:numId w:val="31"/>
        </w:numPr>
      </w:pPr>
      <w:r>
        <w:t xml:space="preserve">Aboriginal people generally prefer to access </w:t>
      </w:r>
      <w:r w:rsidR="00073588">
        <w:t xml:space="preserve">services from </w:t>
      </w:r>
      <w:r>
        <w:t>Aboriginal</w:t>
      </w:r>
      <w:r w:rsidR="00241221">
        <w:t xml:space="preserve"> Community Controlled </w:t>
      </w:r>
      <w:r w:rsidR="001A6AF8">
        <w:t>Organisations</w:t>
      </w:r>
      <w:r w:rsidR="00FC6BC9">
        <w:t>, where they exist,</w:t>
      </w:r>
      <w:r w:rsidR="001A6AF8">
        <w:t xml:space="preserve"> </w:t>
      </w:r>
      <w:r w:rsidR="00F648E4">
        <w:t>which</w:t>
      </w:r>
      <w:r w:rsidR="00073588">
        <w:t xml:space="preserve"> deliver culturally safe services. </w:t>
      </w:r>
      <w:r w:rsidR="00FC6BC9">
        <w:t>M</w:t>
      </w:r>
      <w:r w:rsidR="001E2119">
        <w:t>ainstream services should also strive to deliver culturally safe serv</w:t>
      </w:r>
      <w:r w:rsidR="00FC6BC9">
        <w:t>i</w:t>
      </w:r>
      <w:r w:rsidR="001E2119">
        <w:t>ces</w:t>
      </w:r>
      <w:r w:rsidR="00B709DA">
        <w:t xml:space="preserve"> </w:t>
      </w:r>
      <w:r w:rsidR="00115366">
        <w:t>that meet the needs of</w:t>
      </w:r>
      <w:r w:rsidR="00B709DA">
        <w:t xml:space="preserve"> Aboriginal families and communities</w:t>
      </w:r>
      <w:r w:rsidR="009D5ADB">
        <w:t xml:space="preserve"> to ensure that choice is available</w:t>
      </w:r>
      <w:r w:rsidR="00B709DA">
        <w:t>.</w:t>
      </w:r>
      <w:r w:rsidR="001E2119">
        <w:t xml:space="preserve"> </w:t>
      </w:r>
      <w:r w:rsidR="00F648E4">
        <w:t xml:space="preserve"> </w:t>
      </w:r>
      <w:r w:rsidR="00241221">
        <w:t xml:space="preserve"> </w:t>
      </w:r>
    </w:p>
    <w:p w14:paraId="5FD96357" w14:textId="77777777" w:rsidR="00F1608C" w:rsidRDefault="00F1608C" w:rsidP="00D30627">
      <w:pPr>
        <w:pStyle w:val="Heading2"/>
      </w:pPr>
      <w:r>
        <w:t>People from culturally and linguistically diverse backgrounds</w:t>
      </w:r>
    </w:p>
    <w:p w14:paraId="3F58A056" w14:textId="5CA99376" w:rsidR="001B2193" w:rsidRPr="001B2193" w:rsidRDefault="001B2193" w:rsidP="00134A1F">
      <w:pPr>
        <w:pStyle w:val="ListBullet"/>
        <w:numPr>
          <w:ilvl w:val="0"/>
          <w:numId w:val="31"/>
        </w:numPr>
      </w:pPr>
      <w:r w:rsidRPr="001B2193">
        <w:t xml:space="preserve">Ten per cent of people experiencing homelessness identify as </w:t>
      </w:r>
      <w:r w:rsidR="00520B3C">
        <w:t>c</w:t>
      </w:r>
      <w:r w:rsidRPr="001B2193">
        <w:t xml:space="preserve">ulturally and </w:t>
      </w:r>
      <w:r w:rsidR="00520B3C">
        <w:t>l</w:t>
      </w:r>
      <w:r w:rsidRPr="001B2193">
        <w:t xml:space="preserve">inguistically </w:t>
      </w:r>
      <w:r w:rsidR="00520B3C">
        <w:t>d</w:t>
      </w:r>
      <w:r w:rsidRPr="001B2193">
        <w:t>iverse</w:t>
      </w:r>
      <w:r w:rsidR="00D62813">
        <w:t xml:space="preserve"> (CALD)</w:t>
      </w:r>
      <w:r w:rsidRPr="001B2193">
        <w:t>. This likely includes (but does not reflect the scale of) asylum seekers, temporary migrants, and international students who are unable to access income or health supports, increasing</w:t>
      </w:r>
      <w:r w:rsidR="00520B3C">
        <w:t xml:space="preserve"> their risk of</w:t>
      </w:r>
      <w:r w:rsidRPr="001B2193">
        <w:t xml:space="preserve"> poverty and housing insecurity. These groups are also at greater risk of specific challenges like overcrowding</w:t>
      </w:r>
      <w:r w:rsidR="00D62813" w:rsidRPr="00134A1F">
        <w:rPr>
          <w:vertAlign w:val="superscript"/>
        </w:rPr>
        <w:fldChar w:fldCharType="begin"/>
      </w:r>
      <w:r w:rsidR="00D62813" w:rsidRPr="00134A1F">
        <w:rPr>
          <w:vertAlign w:val="superscript"/>
        </w:rPr>
        <w:instrText xml:space="preserve"> NOTEREF _Ref154146794 \h  \* MERGEFORMAT </w:instrText>
      </w:r>
      <w:r w:rsidR="00D62813" w:rsidRPr="00134A1F">
        <w:rPr>
          <w:vertAlign w:val="superscript"/>
        </w:rPr>
      </w:r>
      <w:r w:rsidR="00D62813" w:rsidRPr="00134A1F">
        <w:rPr>
          <w:vertAlign w:val="superscript"/>
        </w:rPr>
        <w:fldChar w:fldCharType="separate"/>
      </w:r>
      <w:r w:rsidR="00D62813" w:rsidRPr="00134A1F">
        <w:rPr>
          <w:vertAlign w:val="superscript"/>
        </w:rPr>
        <w:t>12</w:t>
      </w:r>
      <w:r w:rsidR="00D62813" w:rsidRPr="00134A1F">
        <w:rPr>
          <w:vertAlign w:val="superscript"/>
        </w:rPr>
        <w:fldChar w:fldCharType="end"/>
      </w:r>
      <w:r w:rsidRPr="001B2193">
        <w:t>.</w:t>
      </w:r>
      <w:r w:rsidR="00D62813" w:rsidRPr="001B2193">
        <w:t xml:space="preserve"> </w:t>
      </w:r>
    </w:p>
    <w:p w14:paraId="5778DED5" w14:textId="698039E3" w:rsidR="001B2193" w:rsidRDefault="00F1608C" w:rsidP="00134A1F">
      <w:pPr>
        <w:pStyle w:val="ListBullet"/>
        <w:numPr>
          <w:ilvl w:val="0"/>
          <w:numId w:val="31"/>
        </w:numPr>
      </w:pPr>
      <w:r>
        <w:t xml:space="preserve">People </w:t>
      </w:r>
      <w:r w:rsidR="00FA1029">
        <w:t xml:space="preserve">from </w:t>
      </w:r>
      <w:r>
        <w:t>CAL</w:t>
      </w:r>
      <w:r w:rsidR="004E2A2B">
        <w:t>D</w:t>
      </w:r>
      <w:r>
        <w:t xml:space="preserve"> backgrounds can face discrimination and barriers when seeking homelessness assistance</w:t>
      </w:r>
      <w:r w:rsidRPr="00D30627">
        <w:t>. This can include English proficiency and literacy a lack of culturally and linguistically appropriate information; a lack of knowledge in navigating Australian systems and services, particularly for older migrants</w:t>
      </w:r>
      <w:r w:rsidR="004E2A2B">
        <w:t>;</w:t>
      </w:r>
      <w:r w:rsidRPr="00D30627">
        <w:t xml:space="preserve"> poorer overall socioeconomic status</w:t>
      </w:r>
      <w:r w:rsidR="004E2A2B">
        <w:t>;</w:t>
      </w:r>
      <w:r w:rsidRPr="00D30627">
        <w:t xml:space="preserve"> differing cultural practices and norms</w:t>
      </w:r>
      <w:r w:rsidR="004E2A2B">
        <w:t>;</w:t>
      </w:r>
      <w:r w:rsidRPr="00D30627">
        <w:t xml:space="preserve"> and a preference for family members to provide care.</w:t>
      </w:r>
      <w:r w:rsidR="004E2A2B" w:rsidRPr="004E2A2B">
        <w:t xml:space="preserve"> </w:t>
      </w:r>
      <w:r w:rsidR="004E2A2B" w:rsidRPr="00D30627">
        <w:t>People from refugee backgrounds may be living with trauma</w:t>
      </w:r>
      <w:r w:rsidR="004E2A2B">
        <w:t>.</w:t>
      </w:r>
    </w:p>
    <w:p w14:paraId="6B94EFB3" w14:textId="77777777" w:rsidR="00F1608C" w:rsidRDefault="00F1608C" w:rsidP="00134A1F">
      <w:pPr>
        <w:pStyle w:val="ListBullet"/>
        <w:numPr>
          <w:ilvl w:val="0"/>
          <w:numId w:val="31"/>
        </w:numPr>
      </w:pPr>
      <w:r>
        <w:t xml:space="preserve">Non-residents of Australia (including asylum seekers, temporary visa holders, and undocumented people) can be particularly vulnerable to homelessness as they are ineligible for healthcare and most homelessness services and may not be permitted to work. </w:t>
      </w:r>
      <w:r w:rsidRPr="00574EBA">
        <w:t xml:space="preserve">Homelessness is especially hidden in </w:t>
      </w:r>
      <w:r>
        <w:t>CALD and non-resident</w:t>
      </w:r>
      <w:r w:rsidRPr="00574EBA">
        <w:t xml:space="preserve"> communities as women </w:t>
      </w:r>
      <w:r>
        <w:t xml:space="preserve">tend to </w:t>
      </w:r>
      <w:r w:rsidRPr="00574EBA">
        <w:t>stay in overcrowded or unstable accommodation rather than sleep rough.</w:t>
      </w:r>
      <w:r>
        <w:t xml:space="preserve"> </w:t>
      </w:r>
      <w:bookmarkStart w:id="5" w:name="_Toc171082559"/>
      <w:bookmarkStart w:id="6" w:name="_Hlk156833622"/>
      <w:bookmarkStart w:id="7" w:name="_Hlk158720135"/>
    </w:p>
    <w:p w14:paraId="599925B0" w14:textId="77777777" w:rsidR="00296F31" w:rsidRDefault="00296F31">
      <w:pPr>
        <w:suppressAutoHyphens w:val="0"/>
        <w:spacing w:after="160" w:line="259" w:lineRule="auto"/>
        <w:rPr>
          <w:rFonts w:asciiTheme="minorHAnsi" w:eastAsiaTheme="minorEastAsia" w:hAnsiTheme="minorHAnsi" w:cstheme="minorBidi"/>
          <w:color w:val="630019" w:themeColor="accent1"/>
          <w:sz w:val="28"/>
          <w:szCs w:val="22"/>
        </w:rPr>
      </w:pPr>
      <w:r>
        <w:br w:type="page"/>
      </w:r>
    </w:p>
    <w:p w14:paraId="4BBC9765" w14:textId="05278EAD" w:rsidR="00F1608C" w:rsidRPr="00574EBA" w:rsidRDefault="00F1608C" w:rsidP="0081620F">
      <w:pPr>
        <w:pStyle w:val="Heading2"/>
      </w:pPr>
      <w:r w:rsidRPr="00574EBA">
        <w:lastRenderedPageBreak/>
        <w:t>People sleeping on the street and people with complex needs</w:t>
      </w:r>
      <w:bookmarkEnd w:id="5"/>
    </w:p>
    <w:bookmarkEnd w:id="6"/>
    <w:bookmarkEnd w:id="7"/>
    <w:p w14:paraId="4B8B3D70" w14:textId="5175704B" w:rsidR="0006477C" w:rsidRPr="000C7688" w:rsidRDefault="0006477C" w:rsidP="00416770">
      <w:pPr>
        <w:pStyle w:val="ListBullet"/>
        <w:numPr>
          <w:ilvl w:val="0"/>
          <w:numId w:val="31"/>
        </w:numPr>
      </w:pPr>
      <w:r w:rsidRPr="000C7688">
        <w:t>The longer a person experiences homelessness, the more complex their problems become and the more likely it is that the experience will become chronic. This in turn increases the level of support that is needed for a person to successfully exit homelessness.</w:t>
      </w:r>
    </w:p>
    <w:p w14:paraId="55C5CE4C" w14:textId="40E92708" w:rsidR="001B2193" w:rsidRPr="001B5320" w:rsidRDefault="001B2193" w:rsidP="00416770">
      <w:pPr>
        <w:pStyle w:val="ListBullet"/>
        <w:numPr>
          <w:ilvl w:val="0"/>
          <w:numId w:val="31"/>
        </w:numPr>
      </w:pPr>
      <w:r w:rsidRPr="00416770">
        <w:t>People with multiple and complex needs, such</w:t>
      </w:r>
      <w:r w:rsidRPr="001B5320">
        <w:t xml:space="preserve"> as those </w:t>
      </w:r>
      <w:r w:rsidRPr="001B5320">
        <w:rPr>
          <w:rFonts w:hint="eastAsia"/>
        </w:rPr>
        <w:t>experiencing</w:t>
      </w:r>
      <w:r w:rsidRPr="001B5320">
        <w:t xml:space="preserve"> mental illness, trauma and/or substance use issues, are the most likely to experience long-term and chronic homelessness and require intensive support.  </w:t>
      </w:r>
    </w:p>
    <w:p w14:paraId="0C22DF59" w14:textId="5D8FA61B" w:rsidR="00C4451E" w:rsidRPr="0081620F" w:rsidRDefault="00C4451E" w:rsidP="00416770">
      <w:pPr>
        <w:pStyle w:val="ListBullet"/>
        <w:numPr>
          <w:ilvl w:val="0"/>
          <w:numId w:val="31"/>
        </w:numPr>
      </w:pPr>
      <w:r>
        <w:t xml:space="preserve">One in eight </w:t>
      </w:r>
      <w:r w:rsidR="007816EB">
        <w:t xml:space="preserve">people leaving custody </w:t>
      </w:r>
      <w:r>
        <w:t>(12.4 per cent) access homelessness services within a year in NSW</w:t>
      </w:r>
      <w:r w:rsidR="007816EB">
        <w:t>, which is</w:t>
      </w:r>
      <w:r>
        <w:t xml:space="preserve"> 20 times the rate of the wider population. The rate for Aboriginal people is double that </w:t>
      </w:r>
      <w:r w:rsidR="007816EB">
        <w:t>of</w:t>
      </w:r>
      <w:r>
        <w:t xml:space="preserve"> non-Aboriginal people</w:t>
      </w:r>
      <w:r w:rsidR="00D62813" w:rsidRPr="00416770">
        <w:rPr>
          <w:vertAlign w:val="superscript"/>
        </w:rPr>
        <w:endnoteReference w:id="11"/>
      </w:r>
      <w:r>
        <w:t xml:space="preserve">. </w:t>
      </w:r>
      <w:r w:rsidR="003C5285">
        <w:t xml:space="preserve">Research suggests that ex-prisoners with complex support needs who receive public housing have better criminal justice outcomes than comparable ex-prisoners who receive private rental assistance only, as stable housing allows for other personal </w:t>
      </w:r>
      <w:r w:rsidR="0093059D">
        <w:t>challenges</w:t>
      </w:r>
      <w:r w:rsidR="003C5285">
        <w:t xml:space="preserve"> to be addressed</w:t>
      </w:r>
      <w:r w:rsidR="00D62813" w:rsidRPr="00416770">
        <w:rPr>
          <w:vertAlign w:val="superscript"/>
        </w:rPr>
        <w:endnoteReference w:id="12"/>
      </w:r>
      <w:r w:rsidR="003C5285">
        <w:t>.</w:t>
      </w:r>
    </w:p>
    <w:p w14:paraId="03BB2565" w14:textId="77777777" w:rsidR="00F1608C" w:rsidRDefault="00F1608C" w:rsidP="0081620F">
      <w:pPr>
        <w:pStyle w:val="Heading2"/>
      </w:pPr>
      <w:r>
        <w:t>Older people</w:t>
      </w:r>
    </w:p>
    <w:p w14:paraId="72031936" w14:textId="2A40E8A4" w:rsidR="00E3553E" w:rsidRDefault="00F1608C" w:rsidP="00E3553E">
      <w:pPr>
        <w:pStyle w:val="BodyText"/>
        <w:widowControl w:val="0"/>
        <w:numPr>
          <w:ilvl w:val="0"/>
          <w:numId w:val="31"/>
        </w:numPr>
        <w:suppressAutoHyphens w:val="0"/>
      </w:pPr>
      <w:r w:rsidRPr="0081620F">
        <w:t>Older people are increasingly becoming homeless</w:t>
      </w:r>
      <w:r w:rsidR="007D3252">
        <w:t>. This</w:t>
      </w:r>
      <w:r w:rsidRPr="0081620F">
        <w:t xml:space="preserve"> is driven by a lack of affordable housing, high cost of living, elder abuse, and domestic and family violence</w:t>
      </w:r>
      <w:r w:rsidR="00D62813">
        <w:rPr>
          <w:rStyle w:val="EndnoteReference"/>
        </w:rPr>
        <w:endnoteReference w:id="13"/>
      </w:r>
      <w:r w:rsidRPr="0081620F">
        <w:t xml:space="preserve">. </w:t>
      </w:r>
      <w:r w:rsidR="00E3553E">
        <w:t>Older, lower-income private renters can be particularly at risk of homelessness</w:t>
      </w:r>
      <w:r w:rsidR="00E3553E">
        <w:rPr>
          <w:rStyle w:val="EndnoteReference"/>
        </w:rPr>
        <w:endnoteReference w:id="14"/>
      </w:r>
      <w:r w:rsidR="00E3553E">
        <w:t>.</w:t>
      </w:r>
    </w:p>
    <w:p w14:paraId="49D72A01" w14:textId="38716A2D" w:rsidR="008B2C51" w:rsidRDefault="008B2C51" w:rsidP="0081620F">
      <w:pPr>
        <w:pStyle w:val="BodyText"/>
        <w:widowControl w:val="0"/>
        <w:numPr>
          <w:ilvl w:val="0"/>
          <w:numId w:val="31"/>
        </w:numPr>
        <w:suppressAutoHyphens w:val="0"/>
      </w:pPr>
      <w:r>
        <w:t>For older women, the drivers of homelessness include relationship separation, the pay and superannuation gap, and domestic and family violence</w:t>
      </w:r>
      <w:r>
        <w:rPr>
          <w:rStyle w:val="EndnoteReference"/>
        </w:rPr>
        <w:endnoteReference w:id="15"/>
      </w:r>
      <w:r>
        <w:t>.</w:t>
      </w:r>
    </w:p>
    <w:p w14:paraId="3D964239" w14:textId="6AE4343F" w:rsidR="00F1608C" w:rsidRDefault="00F1608C" w:rsidP="0081620F">
      <w:pPr>
        <w:pStyle w:val="BodyText"/>
        <w:widowControl w:val="0"/>
        <w:numPr>
          <w:ilvl w:val="0"/>
          <w:numId w:val="31"/>
        </w:numPr>
        <w:suppressAutoHyphens w:val="0"/>
      </w:pPr>
      <w:r w:rsidRPr="0081620F">
        <w:t>The number of people experiencing homelessness aged 55 years and over has steadily increased over the past three Censuses</w:t>
      </w:r>
      <w:r w:rsidR="00D62813">
        <w:rPr>
          <w:rStyle w:val="EndnoteReference"/>
        </w:rPr>
        <w:endnoteReference w:id="16"/>
      </w:r>
      <w:r w:rsidRPr="0081620F">
        <w:t>.</w:t>
      </w:r>
      <w:r w:rsidR="0006060A">
        <w:t xml:space="preserve"> However, it is difficult to accurately understand the extent of older people experiencing homelessness. Older women </w:t>
      </w:r>
      <w:proofErr w:type="gramStart"/>
      <w:r w:rsidR="0006060A">
        <w:t xml:space="preserve">in particular </w:t>
      </w:r>
      <w:r w:rsidR="00F25F33">
        <w:t>are</w:t>
      </w:r>
      <w:proofErr w:type="gramEnd"/>
      <w:r w:rsidR="00F25F33">
        <w:t xml:space="preserve"> </w:t>
      </w:r>
      <w:r w:rsidR="0006060A">
        <w:t>more likely to stay with friends or family or live in their cars, than sleep rough</w:t>
      </w:r>
      <w:r w:rsidR="0006060A">
        <w:rPr>
          <w:rStyle w:val="EndnoteReference"/>
        </w:rPr>
        <w:endnoteReference w:id="17"/>
      </w:r>
      <w:r w:rsidR="0006060A">
        <w:t>.</w:t>
      </w:r>
    </w:p>
    <w:p w14:paraId="37AF5CFF" w14:textId="78ADD3C3" w:rsidR="00E3553E" w:rsidRPr="00705A6B" w:rsidRDefault="00E3553E" w:rsidP="00E3553E">
      <w:pPr>
        <w:pStyle w:val="BodyText"/>
        <w:widowControl w:val="0"/>
        <w:numPr>
          <w:ilvl w:val="0"/>
          <w:numId w:val="31"/>
        </w:numPr>
        <w:suppressAutoHyphens w:val="0"/>
      </w:pPr>
      <w:r>
        <w:t xml:space="preserve">Older people need stable, accessible, and appropriate housing which allows them to age-in-place and avoid further transitions. Engagement with health care and aged care services is essential to allow older people to have choice and dignity about their housing and supports. </w:t>
      </w:r>
    </w:p>
    <w:p w14:paraId="7C149A47" w14:textId="60E525DF" w:rsidR="00237CB7" w:rsidRDefault="00237CB7" w:rsidP="00237CB7">
      <w:pPr>
        <w:pStyle w:val="BodyText"/>
        <w:widowControl w:val="0"/>
        <w:numPr>
          <w:ilvl w:val="0"/>
          <w:numId w:val="31"/>
        </w:numPr>
        <w:suppressAutoHyphens w:val="0"/>
      </w:pPr>
      <w:r>
        <w:t xml:space="preserve">The 2022 </w:t>
      </w:r>
      <w:r w:rsidR="00734C69">
        <w:t>Legislative Council I</w:t>
      </w:r>
      <w:r>
        <w:t xml:space="preserve">nquiry into Homelessness amongst older people aged over 55 in </w:t>
      </w:r>
      <w:r w:rsidR="00734C69">
        <w:t>NSW</w:t>
      </w:r>
      <w:r>
        <w:t xml:space="preserve"> made 40 recommendations to reduce the risk of homelessness for older people.</w:t>
      </w:r>
      <w:r>
        <w:rPr>
          <w:rStyle w:val="EndnoteReference"/>
        </w:rPr>
        <w:endnoteReference w:id="18"/>
      </w:r>
      <w:r>
        <w:t xml:space="preserve"> The NSW Government supported nine recommendations in full and 24 in principle relating to homelessness data collection and reporting, adopting Housing First approaches; </w:t>
      </w:r>
      <w:r w:rsidR="000D403B">
        <w:t xml:space="preserve">improving homelessness services responses </w:t>
      </w:r>
      <w:r w:rsidR="00734C69">
        <w:t>for</w:t>
      </w:r>
      <w:r w:rsidR="000D403B">
        <w:t xml:space="preserve"> older people, </w:t>
      </w:r>
      <w:r>
        <w:t xml:space="preserve">increasing </w:t>
      </w:r>
      <w:r w:rsidR="000D403B">
        <w:t xml:space="preserve">social housing, </w:t>
      </w:r>
      <w:r>
        <w:t>maintenance and retrofitting social housing stock</w:t>
      </w:r>
      <w:r w:rsidR="000D403B">
        <w:t>,</w:t>
      </w:r>
      <w:r>
        <w:t xml:space="preserve"> and advocating with the Commonwealth Government</w:t>
      </w:r>
      <w:r>
        <w:rPr>
          <w:rStyle w:val="EndnoteReference"/>
        </w:rPr>
        <w:endnoteReference w:id="19"/>
      </w:r>
      <w:r>
        <w:t>.</w:t>
      </w:r>
    </w:p>
    <w:p w14:paraId="254ADFDB" w14:textId="77777777" w:rsidR="00F1608C" w:rsidRDefault="00F1608C" w:rsidP="0081620F">
      <w:pPr>
        <w:pStyle w:val="Heading2"/>
      </w:pPr>
      <w:r>
        <w:t>People with disability</w:t>
      </w:r>
    </w:p>
    <w:p w14:paraId="447A8A0F" w14:textId="616BCE77" w:rsidR="00F1608C" w:rsidRDefault="00F1608C" w:rsidP="0081620F">
      <w:pPr>
        <w:pStyle w:val="BodyText"/>
        <w:widowControl w:val="0"/>
        <w:numPr>
          <w:ilvl w:val="0"/>
          <w:numId w:val="31"/>
        </w:numPr>
        <w:suppressAutoHyphens w:val="0"/>
      </w:pPr>
      <w:r w:rsidRPr="0081620F">
        <w:t>Nationally, people living with disability make up 18 per cent of the population yet represent approximately 25 per cent of the clients of specialist homelessness services</w:t>
      </w:r>
      <w:r w:rsidR="00D62813">
        <w:rPr>
          <w:rStyle w:val="EndnoteReference"/>
        </w:rPr>
        <w:endnoteReference w:id="20"/>
      </w:r>
      <w:r w:rsidRPr="0081620F">
        <w:t>.</w:t>
      </w:r>
    </w:p>
    <w:p w14:paraId="3FA461D0" w14:textId="110CCA76" w:rsidR="00E3553E" w:rsidRPr="0081620F" w:rsidRDefault="00E3553E" w:rsidP="0081620F">
      <w:pPr>
        <w:pStyle w:val="BodyText"/>
        <w:widowControl w:val="0"/>
        <w:numPr>
          <w:ilvl w:val="0"/>
          <w:numId w:val="31"/>
        </w:numPr>
        <w:suppressAutoHyphens w:val="0"/>
      </w:pPr>
      <w:r>
        <w:t>People with disability can have poorer housing outcomes due to fewer employment opportunities and a lifetime of lower earnings, lack of social support, lack of suitable housing options, and the need for specialised assistance and services</w:t>
      </w:r>
      <w:r>
        <w:rPr>
          <w:rStyle w:val="EndnoteReference"/>
        </w:rPr>
        <w:endnoteReference w:id="21"/>
      </w:r>
      <w:r>
        <w:t>.</w:t>
      </w:r>
      <w:r w:rsidRPr="00E3553E">
        <w:t xml:space="preserve"> </w:t>
      </w:r>
    </w:p>
    <w:p w14:paraId="2C0F2F73" w14:textId="2016A48A" w:rsidR="00F1608C" w:rsidRDefault="00F1608C" w:rsidP="0081620F">
      <w:pPr>
        <w:pStyle w:val="BodyText"/>
        <w:widowControl w:val="0"/>
        <w:numPr>
          <w:ilvl w:val="0"/>
          <w:numId w:val="31"/>
        </w:numPr>
        <w:suppressAutoHyphens w:val="0"/>
      </w:pPr>
      <w:r w:rsidRPr="0081620F">
        <w:t xml:space="preserve">People with disability who are homeless can be at risk of abuse, exploitation and discrimination. They may also face </w:t>
      </w:r>
      <w:r w:rsidR="00734C69">
        <w:t xml:space="preserve">access </w:t>
      </w:r>
      <w:r w:rsidRPr="0081620F">
        <w:t>barriers to housing and other supports</w:t>
      </w:r>
      <w:r w:rsidR="00734C69">
        <w:t xml:space="preserve">, and </w:t>
      </w:r>
      <w:r w:rsidRPr="0081620F">
        <w:t>long wait times for housing due to the limited number of</w:t>
      </w:r>
      <w:r w:rsidR="000D3264">
        <w:t xml:space="preserve"> social or private rental</w:t>
      </w:r>
      <w:r w:rsidRPr="0081620F">
        <w:t xml:space="preserve"> homes that meet their needs</w:t>
      </w:r>
      <w:r w:rsidR="000D3264">
        <w:rPr>
          <w:rStyle w:val="EndnoteReference"/>
        </w:rPr>
        <w:endnoteReference w:id="22"/>
      </w:r>
      <w:r w:rsidRPr="0081620F">
        <w:t>.</w:t>
      </w:r>
    </w:p>
    <w:p w14:paraId="5D9C2BFD" w14:textId="77777777" w:rsidR="00F1608C" w:rsidRPr="0069086A" w:rsidRDefault="00F1608C" w:rsidP="0081620F">
      <w:pPr>
        <w:pStyle w:val="BodyText"/>
        <w:widowControl w:val="0"/>
        <w:numPr>
          <w:ilvl w:val="0"/>
          <w:numId w:val="31"/>
        </w:numPr>
        <w:suppressAutoHyphens w:val="0"/>
        <w:rPr>
          <w:rFonts w:eastAsia="Times New Roman"/>
          <w:color w:val="000000"/>
          <w:lang w:val="en-US" w:eastAsia="en-US"/>
        </w:rPr>
      </w:pPr>
      <w:r w:rsidRPr="0081620F">
        <w:t>It is essential that people with disability have choice about where to live and with whom, from a range of options including public and community housing, private rental and home ownership. Accessible, well-designed housing</w:t>
      </w:r>
      <w:r w:rsidRPr="0069086A">
        <w:rPr>
          <w:rFonts w:eastAsia="Times New Roman"/>
          <w:color w:val="000000"/>
          <w:lang w:val="en-US" w:eastAsia="en-US"/>
        </w:rPr>
        <w:t xml:space="preserve"> supports independence and social and economic participation. </w:t>
      </w:r>
    </w:p>
    <w:p w14:paraId="4B506140" w14:textId="77777777" w:rsidR="00F1608C" w:rsidRDefault="00F1608C" w:rsidP="0081620F">
      <w:pPr>
        <w:pStyle w:val="Heading2"/>
      </w:pPr>
      <w:r>
        <w:lastRenderedPageBreak/>
        <w:t>Alcohol and other drugs</w:t>
      </w:r>
    </w:p>
    <w:p w14:paraId="6510766B" w14:textId="483A0C92" w:rsidR="0093059D" w:rsidRDefault="00F1608C" w:rsidP="0081620F">
      <w:pPr>
        <w:pStyle w:val="BodyText"/>
        <w:widowControl w:val="0"/>
        <w:numPr>
          <w:ilvl w:val="0"/>
          <w:numId w:val="31"/>
        </w:numPr>
        <w:suppressAutoHyphens w:val="0"/>
      </w:pPr>
      <w:r>
        <w:t>The use of alcohol and other drugs can be a contributing factor</w:t>
      </w:r>
      <w:r w:rsidR="005F13CF">
        <w:t xml:space="preserve"> </w:t>
      </w:r>
      <w:r w:rsidR="007816EB">
        <w:t>to</w:t>
      </w:r>
      <w:r w:rsidR="005F13CF">
        <w:t xml:space="preserve"> experiences of homelessness</w:t>
      </w:r>
      <w:r>
        <w:t xml:space="preserve">. </w:t>
      </w:r>
      <w:r w:rsidR="00EB0928">
        <w:t xml:space="preserve">Experiences of homelessness can also trigger </w:t>
      </w:r>
      <w:r w:rsidR="00F51921">
        <w:t>self-medication</w:t>
      </w:r>
      <w:r w:rsidR="00EB0928">
        <w:t xml:space="preserve"> through </w:t>
      </w:r>
      <w:r w:rsidR="00F51921">
        <w:t>alcohol and other drugs.</w:t>
      </w:r>
    </w:p>
    <w:p w14:paraId="65AFB402" w14:textId="0F9540E6" w:rsidR="00F1608C" w:rsidRDefault="00F1608C" w:rsidP="0081620F">
      <w:pPr>
        <w:pStyle w:val="BodyText"/>
        <w:widowControl w:val="0"/>
        <w:numPr>
          <w:ilvl w:val="0"/>
          <w:numId w:val="31"/>
        </w:numPr>
        <w:suppressAutoHyphens w:val="0"/>
      </w:pPr>
      <w:r>
        <w:t xml:space="preserve">Evidence from Australian studies shows a strong correlation between people using alcohol and other </w:t>
      </w:r>
      <w:r w:rsidRPr="00DF5745">
        <w:t>drug services and homelessness services.</w:t>
      </w:r>
      <w:r w:rsidR="0093059D">
        <w:t xml:space="preserve"> In 2022-23, 8.6 per cent of people presenting at SHS across Australia reported </w:t>
      </w:r>
      <w:r w:rsidR="00360A66">
        <w:t>having problematic alcohol or other drug use, and four out of five of those with problematic alcohol or drug use were returning SHS clients</w:t>
      </w:r>
      <w:r w:rsidR="00D62813">
        <w:rPr>
          <w:rStyle w:val="EndnoteReference"/>
        </w:rPr>
        <w:endnoteReference w:id="23"/>
      </w:r>
      <w:r w:rsidR="00360A66">
        <w:t>.</w:t>
      </w:r>
    </w:p>
    <w:p w14:paraId="232EDF3F" w14:textId="188873C9" w:rsidR="0080028E" w:rsidRDefault="0080028E" w:rsidP="0081620F">
      <w:pPr>
        <w:pStyle w:val="BodyText"/>
        <w:widowControl w:val="0"/>
        <w:numPr>
          <w:ilvl w:val="0"/>
          <w:numId w:val="31"/>
        </w:numPr>
        <w:suppressAutoHyphens w:val="0"/>
      </w:pPr>
      <w:r>
        <w:t xml:space="preserve">Problematic </w:t>
      </w:r>
      <w:r w:rsidR="009B65B7">
        <w:t xml:space="preserve">use of alcohol and other drugs can </w:t>
      </w:r>
      <w:r w:rsidR="00DF1083">
        <w:t>reduce</w:t>
      </w:r>
      <w:r w:rsidR="00AE2A81">
        <w:t xml:space="preserve"> </w:t>
      </w:r>
      <w:r w:rsidR="00DF1083">
        <w:t xml:space="preserve">people’s </w:t>
      </w:r>
      <w:r w:rsidR="00AE2A81">
        <w:t>access to some support and accommodation options.</w:t>
      </w:r>
      <w:r w:rsidR="003E0ADC">
        <w:t xml:space="preserve"> </w:t>
      </w:r>
      <w:r w:rsidR="00395097">
        <w:t xml:space="preserve">A </w:t>
      </w:r>
      <w:r w:rsidR="003C564B">
        <w:t xml:space="preserve">Housing First </w:t>
      </w:r>
      <w:r w:rsidR="00395097">
        <w:t>approach</w:t>
      </w:r>
      <w:r w:rsidR="003C564B">
        <w:t xml:space="preserve"> would </w:t>
      </w:r>
      <w:r w:rsidR="00395097">
        <w:t xml:space="preserve">support </w:t>
      </w:r>
      <w:r w:rsidR="003C564B">
        <w:t>hous</w:t>
      </w:r>
      <w:r w:rsidR="00395097">
        <w:t>ing people</w:t>
      </w:r>
      <w:r w:rsidR="004140A4">
        <w:t xml:space="preserve"> even if they</w:t>
      </w:r>
      <w:r w:rsidR="00F458C7">
        <w:t xml:space="preserve"> are still using alcohol or drugs</w:t>
      </w:r>
      <w:r w:rsidR="0077623C">
        <w:t xml:space="preserve">, using </w:t>
      </w:r>
      <w:r w:rsidR="003E46FD">
        <w:t xml:space="preserve">harm reduction </w:t>
      </w:r>
      <w:r w:rsidR="0077623C">
        <w:t>techniques</w:t>
      </w:r>
      <w:r w:rsidR="00FC1DFF">
        <w:t xml:space="preserve"> to support recovery</w:t>
      </w:r>
      <w:r w:rsidR="00F458C7">
        <w:t>.</w:t>
      </w:r>
      <w:r w:rsidR="009B65B7">
        <w:t xml:space="preserve"> </w:t>
      </w:r>
    </w:p>
    <w:p w14:paraId="3E2EE54C" w14:textId="77777777" w:rsidR="00F1608C" w:rsidRDefault="00F1608C" w:rsidP="0081620F">
      <w:pPr>
        <w:pStyle w:val="Heading2"/>
      </w:pPr>
      <w:bookmarkStart w:id="8" w:name="_Toc171082561"/>
      <w:r>
        <w:t>Mental health</w:t>
      </w:r>
    </w:p>
    <w:p w14:paraId="281F5A12" w14:textId="743D2653" w:rsidR="00F1608C" w:rsidRPr="007E7A26" w:rsidRDefault="00F1608C" w:rsidP="0081620F">
      <w:pPr>
        <w:pStyle w:val="BodyText"/>
        <w:widowControl w:val="0"/>
        <w:numPr>
          <w:ilvl w:val="0"/>
          <w:numId w:val="31"/>
        </w:numPr>
        <w:suppressAutoHyphens w:val="0"/>
      </w:pPr>
      <w:r w:rsidRPr="007E7A26">
        <w:t>Mental health issues can be a contributing factor to homelessness. Having a safe and secure place to call home is a fundamental foundation for health and wellbeing. In 2021-22 31% of people accessing a specialist homelessness service in Australia reported having a current mental health issue</w:t>
      </w:r>
      <w:r w:rsidR="00D62813" w:rsidRPr="007E7A26">
        <w:rPr>
          <w:rStyle w:val="EndnoteReference"/>
        </w:rPr>
        <w:endnoteReference w:id="24"/>
      </w:r>
      <w:r w:rsidRPr="007E7A26">
        <w:t>.</w:t>
      </w:r>
    </w:p>
    <w:p w14:paraId="31A77FD3" w14:textId="6B2D463E" w:rsidR="007E7A26" w:rsidRDefault="00F1608C" w:rsidP="0081620F">
      <w:pPr>
        <w:pStyle w:val="BodyText"/>
        <w:widowControl w:val="0"/>
        <w:numPr>
          <w:ilvl w:val="0"/>
          <w:numId w:val="31"/>
        </w:numPr>
        <w:suppressAutoHyphens w:val="0"/>
      </w:pPr>
      <w:r w:rsidRPr="007E7A26">
        <w:t xml:space="preserve">People leaving government services, such as mental health facilities can be at increased risk of homelessness. </w:t>
      </w:r>
      <w:r w:rsidR="007E7A26">
        <w:t xml:space="preserve">People with mental health issues are between </w:t>
      </w:r>
      <w:r w:rsidR="00D62813">
        <w:t>three</w:t>
      </w:r>
      <w:r w:rsidR="007E7A26">
        <w:t xml:space="preserve"> and 26 times more likely than the wider NSW population to access homelessness services within a year of accessing a range of health services</w:t>
      </w:r>
      <w:r w:rsidR="00D62813">
        <w:rPr>
          <w:rStyle w:val="EndnoteReference"/>
        </w:rPr>
        <w:endnoteReference w:id="25"/>
      </w:r>
      <w:r w:rsidR="007E7A26">
        <w:t>.</w:t>
      </w:r>
      <w:r w:rsidR="007E24C1" w:rsidRPr="007E24C1">
        <w:t xml:space="preserve"> </w:t>
      </w:r>
      <w:r w:rsidR="007E24C1">
        <w:t>People experiencing mental health issues are one of the fastest growing groups of clients accessing SHS. In 2022-23, of the 31,600 accessing SHS services across Australia and reporting health conditions 23,700 identified a mental health issue</w:t>
      </w:r>
      <w:r w:rsidR="00D62813">
        <w:rPr>
          <w:rStyle w:val="EndnoteReference"/>
        </w:rPr>
        <w:endnoteReference w:id="26"/>
      </w:r>
      <w:r w:rsidR="007E24C1">
        <w:t>.</w:t>
      </w:r>
    </w:p>
    <w:p w14:paraId="7DF115B9" w14:textId="3395CAEC" w:rsidR="001F0461" w:rsidRDefault="001F0461" w:rsidP="0081620F">
      <w:pPr>
        <w:pStyle w:val="BodyText"/>
        <w:widowControl w:val="0"/>
        <w:numPr>
          <w:ilvl w:val="0"/>
          <w:numId w:val="31"/>
        </w:numPr>
        <w:suppressAutoHyphens w:val="0"/>
      </w:pPr>
      <w:r>
        <w:t>People with mental health issues can also face barriers to accessing support, such as the stigma associated with mental health issues, feeling judged or stereotyped</w:t>
      </w:r>
      <w:r w:rsidR="00D62813">
        <w:rPr>
          <w:rStyle w:val="EndnoteReference"/>
        </w:rPr>
        <w:endnoteReference w:id="27"/>
      </w:r>
      <w:r>
        <w:t>.</w:t>
      </w:r>
    </w:p>
    <w:p w14:paraId="56215DAF" w14:textId="589A4720" w:rsidR="007E7A26" w:rsidRPr="007E7A26" w:rsidRDefault="00F1608C" w:rsidP="0081620F">
      <w:pPr>
        <w:pStyle w:val="BodyText"/>
        <w:widowControl w:val="0"/>
        <w:numPr>
          <w:ilvl w:val="0"/>
          <w:numId w:val="31"/>
        </w:numPr>
        <w:suppressAutoHyphens w:val="0"/>
      </w:pPr>
      <w:r w:rsidRPr="007E7A26">
        <w:t xml:space="preserve">People who live with mental health conditions need to have timely access to safe, secure, appropriate housing; and mental health supports in place when needed, to sustain housing, live well in the community and lead their recovery. </w:t>
      </w:r>
    </w:p>
    <w:bookmarkEnd w:id="8"/>
    <w:p w14:paraId="0709A9E9" w14:textId="77777777" w:rsidR="00F1608C" w:rsidRPr="007C2A7F" w:rsidRDefault="00F1608C" w:rsidP="0081620F">
      <w:pPr>
        <w:pStyle w:val="Heading2"/>
      </w:pPr>
      <w:r>
        <w:t>Gender</w:t>
      </w:r>
    </w:p>
    <w:p w14:paraId="18C804B2" w14:textId="3E1DE8D4" w:rsidR="00F1608C" w:rsidRDefault="00F1608C" w:rsidP="0081620F">
      <w:pPr>
        <w:pStyle w:val="BodyText"/>
        <w:widowControl w:val="0"/>
        <w:numPr>
          <w:ilvl w:val="0"/>
          <w:numId w:val="31"/>
        </w:numPr>
        <w:suppressAutoHyphens w:val="0"/>
      </w:pPr>
      <w:r>
        <w:t>Gender impacts people’s experiences of homelessness. According to the 2021 Census, men make up 58 per cent of people experiencing homelessness in NSW and women make up 42 per cent</w:t>
      </w:r>
      <w:r w:rsidR="00D62813">
        <w:rPr>
          <w:rStyle w:val="EndnoteReference"/>
        </w:rPr>
        <w:endnoteReference w:id="28"/>
      </w:r>
      <w:r>
        <w:t xml:space="preserve">. </w:t>
      </w:r>
      <w:proofErr w:type="gramStart"/>
      <w:r>
        <w:t>However</w:t>
      </w:r>
      <w:proofErr w:type="gramEnd"/>
      <w:r>
        <w:t xml:space="preserve"> women made up 59 per cent of all presentations to specialist homelessness services (SHS) in 2022/23</w:t>
      </w:r>
      <w:r w:rsidR="00D62813">
        <w:rPr>
          <w:rStyle w:val="EndnoteReference"/>
        </w:rPr>
        <w:endnoteReference w:id="29"/>
      </w:r>
      <w:r>
        <w:t xml:space="preserve">. They represented </w:t>
      </w:r>
      <w:r w:rsidRPr="00B932B8">
        <w:t xml:space="preserve">66 per cent of daily unassisted requests </w:t>
      </w:r>
      <w:r>
        <w:t xml:space="preserve">to SHS, </w:t>
      </w:r>
      <w:r w:rsidRPr="00B932B8">
        <w:t xml:space="preserve">and </w:t>
      </w:r>
      <w:r>
        <w:t xml:space="preserve">the </w:t>
      </w:r>
      <w:r w:rsidRPr="00B932B8">
        <w:t>majority (87 per cent) of unassisted requests made by single adults with children</w:t>
      </w:r>
      <w:r>
        <w:t>.</w:t>
      </w:r>
    </w:p>
    <w:p w14:paraId="4C68EB38" w14:textId="597C2414" w:rsidR="00F1608C" w:rsidRDefault="00F1608C" w:rsidP="0081620F">
      <w:pPr>
        <w:pStyle w:val="BodyText"/>
        <w:widowControl w:val="0"/>
        <w:numPr>
          <w:ilvl w:val="0"/>
          <w:numId w:val="31"/>
        </w:numPr>
        <w:suppressAutoHyphens w:val="0"/>
      </w:pPr>
      <w:r>
        <w:t>E</w:t>
      </w:r>
      <w:r w:rsidRPr="002832F4">
        <w:t>vidence suggests that women are largely underrepresented in homeless counts as they are less visible in their experiences of homelessne</w:t>
      </w:r>
      <w:r w:rsidR="001F0461">
        <w:t>ss</w:t>
      </w:r>
      <w:r w:rsidR="001F0461">
        <w:rPr>
          <w:rStyle w:val="EndnoteReference"/>
        </w:rPr>
        <w:endnoteReference w:id="30"/>
      </w:r>
      <w:r w:rsidR="00D62813">
        <w:t>.</w:t>
      </w:r>
      <w:r w:rsidRPr="002832F4">
        <w:t xml:space="preserve"> Women are also at increased risk of homelessness because of domestic and family violence</w:t>
      </w:r>
      <w:r>
        <w:t xml:space="preserve"> and low income due to gender pay gaps, casualised work and low superannuation</w:t>
      </w:r>
      <w:r w:rsidRPr="002832F4">
        <w:t>.</w:t>
      </w:r>
      <w:r w:rsidRPr="00A05504">
        <w:t xml:space="preserve"> </w:t>
      </w:r>
    </w:p>
    <w:p w14:paraId="3EA426D9" w14:textId="66E5FC83" w:rsidR="00F2161A" w:rsidRPr="00F2161A" w:rsidRDefault="00F2161A" w:rsidP="0081620F">
      <w:pPr>
        <w:pStyle w:val="BodyText"/>
        <w:widowControl w:val="0"/>
        <w:numPr>
          <w:ilvl w:val="0"/>
          <w:numId w:val="31"/>
        </w:numPr>
        <w:suppressAutoHyphens w:val="0"/>
      </w:pPr>
      <w:r w:rsidRPr="00F2161A">
        <w:t>Rough sleepers are more likely to be men, aged over 35 years, have mental health or drug and alcohol issues</w:t>
      </w:r>
      <w:r w:rsidR="00EA08DA" w:rsidRPr="00F2161A">
        <w:rPr>
          <w:rStyle w:val="EndnoteReference"/>
        </w:rPr>
        <w:endnoteReference w:id="31"/>
      </w:r>
      <w:r w:rsidRPr="00F2161A">
        <w:t>.</w:t>
      </w:r>
      <w:r w:rsidR="00F1608C" w:rsidRPr="00F2161A">
        <w:t xml:space="preserve"> </w:t>
      </w:r>
    </w:p>
    <w:p w14:paraId="60551776" w14:textId="27B50C3D" w:rsidR="00F1608C" w:rsidRPr="008A2A62" w:rsidRDefault="00F1608C" w:rsidP="0081620F">
      <w:pPr>
        <w:pStyle w:val="BodyText"/>
        <w:widowControl w:val="0"/>
        <w:numPr>
          <w:ilvl w:val="0"/>
          <w:numId w:val="31"/>
        </w:numPr>
        <w:suppressAutoHyphens w:val="0"/>
      </w:pPr>
      <w:r w:rsidRPr="008A2A62">
        <w:t xml:space="preserve">There is limited research on homelessness amongst people </w:t>
      </w:r>
      <w:r w:rsidR="00E1761B">
        <w:t>of diverse sexualities and genders in</w:t>
      </w:r>
      <w:r w:rsidRPr="008A2A62">
        <w:t xml:space="preserve"> NSW</w:t>
      </w:r>
      <w:r>
        <w:t xml:space="preserve"> due to data collection limitations</w:t>
      </w:r>
      <w:r w:rsidRPr="008A2A62">
        <w:t>. However, research indicates:</w:t>
      </w:r>
    </w:p>
    <w:p w14:paraId="3B71FED5" w14:textId="77777777" w:rsidR="00F1608C" w:rsidRPr="008A2A62" w:rsidRDefault="00F1608C" w:rsidP="0081620F">
      <w:pPr>
        <w:pStyle w:val="ListBullet"/>
        <w:widowControl w:val="0"/>
        <w:numPr>
          <w:ilvl w:val="0"/>
          <w:numId w:val="35"/>
        </w:numPr>
        <w:suppressAutoHyphens w:val="0"/>
      </w:pPr>
      <w:r w:rsidRPr="008A2A62">
        <w:t>LGBTQI</w:t>
      </w:r>
      <w:r>
        <w:t>A</w:t>
      </w:r>
      <w:r w:rsidRPr="008A2A62">
        <w:t>+ young people are twice as likely to experience homelessness, and about half will have compromised or sub-standard living conditions</w:t>
      </w:r>
      <w:r>
        <w:rPr>
          <w:rStyle w:val="EndnoteReference"/>
        </w:rPr>
        <w:endnoteReference w:id="32"/>
      </w:r>
      <w:r w:rsidRPr="008A2A62">
        <w:t xml:space="preserve">. For those who identify as gender diverse, that jumps to 71 per cent. </w:t>
      </w:r>
    </w:p>
    <w:p w14:paraId="1F49F99D" w14:textId="77777777" w:rsidR="00F1608C" w:rsidRPr="008A2A62" w:rsidRDefault="00F1608C" w:rsidP="0081620F">
      <w:pPr>
        <w:pStyle w:val="ListBullet"/>
        <w:widowControl w:val="0"/>
        <w:numPr>
          <w:ilvl w:val="0"/>
          <w:numId w:val="35"/>
        </w:numPr>
        <w:suppressAutoHyphens w:val="0"/>
      </w:pPr>
      <w:r>
        <w:t>T</w:t>
      </w:r>
      <w:r w:rsidRPr="008A2A62">
        <w:t>rans men are at the highest risk of homelessness within trans and gender diverse groups</w:t>
      </w:r>
      <w:r w:rsidRPr="006E75B0">
        <w:rPr>
          <w:vertAlign w:val="superscript"/>
        </w:rPr>
        <w:endnoteReference w:id="33"/>
      </w:r>
      <w:r w:rsidRPr="008A2A62">
        <w:t>.</w:t>
      </w:r>
    </w:p>
    <w:p w14:paraId="73F9B368" w14:textId="49B89CC3" w:rsidR="00F1608C" w:rsidRDefault="00AE0B94" w:rsidP="0081620F">
      <w:pPr>
        <w:pStyle w:val="ListBullet"/>
        <w:widowControl w:val="0"/>
        <w:numPr>
          <w:ilvl w:val="0"/>
          <w:numId w:val="35"/>
        </w:numPr>
        <w:suppressAutoHyphens w:val="0"/>
      </w:pPr>
      <w:r>
        <w:lastRenderedPageBreak/>
        <w:t xml:space="preserve">Twenty to </w:t>
      </w:r>
      <w:r w:rsidR="00F1608C">
        <w:t xml:space="preserve">40 per cent of </w:t>
      </w:r>
      <w:r w:rsidR="00F1608C" w:rsidRPr="008A2A62">
        <w:t xml:space="preserve">homeless </w:t>
      </w:r>
      <w:r w:rsidR="00F1608C">
        <w:t>young people</w:t>
      </w:r>
      <w:r w:rsidR="00F1608C" w:rsidRPr="008A2A62">
        <w:t xml:space="preserve"> in the UK, USA and Canada identify as LGBTQI</w:t>
      </w:r>
      <w:r w:rsidR="00F1608C">
        <w:t>A</w:t>
      </w:r>
      <w:r w:rsidR="00F1608C" w:rsidRPr="008A2A62">
        <w:t>+</w:t>
      </w:r>
      <w:r w:rsidR="00F1608C">
        <w:rPr>
          <w:rStyle w:val="EndnoteReference"/>
        </w:rPr>
        <w:endnoteReference w:id="34"/>
      </w:r>
      <w:r w:rsidR="00F1608C" w:rsidRPr="008A2A62">
        <w:t xml:space="preserve">. This is </w:t>
      </w:r>
      <w:proofErr w:type="gramStart"/>
      <w:r w:rsidR="00F1608C" w:rsidRPr="008A2A62">
        <w:t>similar to</w:t>
      </w:r>
      <w:proofErr w:type="gramEnd"/>
      <w:r w:rsidR="00F1608C" w:rsidRPr="008A2A62">
        <w:t xml:space="preserve"> rates </w:t>
      </w:r>
      <w:r w:rsidR="00F1608C">
        <w:t>reported</w:t>
      </w:r>
      <w:r w:rsidR="00F1608C" w:rsidRPr="008A2A62">
        <w:t xml:space="preserve"> in Australia, with increases in trans, gender diverse and nonbinary clients </w:t>
      </w:r>
      <w:r w:rsidR="00F1608C">
        <w:t xml:space="preserve">noted by </w:t>
      </w:r>
      <w:r w:rsidR="00F1608C" w:rsidRPr="008A2A62">
        <w:t>service provider</w:t>
      </w:r>
      <w:r w:rsidR="00F1608C">
        <w:t>s</w:t>
      </w:r>
      <w:r w:rsidR="00F1608C" w:rsidRPr="008A2A62">
        <w:t xml:space="preserve"> in recent years</w:t>
      </w:r>
      <w:r w:rsidR="00F1608C">
        <w:rPr>
          <w:rStyle w:val="EndnoteReference"/>
        </w:rPr>
        <w:endnoteReference w:id="35"/>
      </w:r>
      <w:r w:rsidR="00F1608C">
        <w:t xml:space="preserve">. </w:t>
      </w:r>
    </w:p>
    <w:sectPr w:rsidR="00F1608C" w:rsidSect="001158E0">
      <w:footerReference w:type="default" r:id="rId10"/>
      <w:headerReference w:type="first" r:id="rId11"/>
      <w:footerReference w:type="first" r:id="rId12"/>
      <w:endnotePr>
        <w:numFmt w:val="decimal"/>
      </w:endnotePr>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D4F1" w14:textId="77777777" w:rsidR="00CD659A" w:rsidRDefault="00CD659A" w:rsidP="00921FD3">
      <w:r>
        <w:separator/>
      </w:r>
    </w:p>
    <w:p w14:paraId="0B61FFD0" w14:textId="77777777" w:rsidR="00CD659A" w:rsidRDefault="00CD659A"/>
    <w:p w14:paraId="499F955F" w14:textId="77777777" w:rsidR="00CD659A" w:rsidRDefault="00CD659A"/>
  </w:endnote>
  <w:endnote w:type="continuationSeparator" w:id="0">
    <w:p w14:paraId="417FC084" w14:textId="77777777" w:rsidR="00CD659A" w:rsidRDefault="00CD659A" w:rsidP="00921FD3">
      <w:r>
        <w:continuationSeparator/>
      </w:r>
    </w:p>
    <w:p w14:paraId="5D096A1C" w14:textId="77777777" w:rsidR="00CD659A" w:rsidRDefault="00CD659A"/>
    <w:p w14:paraId="4D388C10" w14:textId="77777777" w:rsidR="00CD659A" w:rsidRDefault="00CD659A"/>
  </w:endnote>
  <w:endnote w:id="1">
    <w:p w14:paraId="6013AC82" w14:textId="77777777" w:rsidR="00F1608C" w:rsidRPr="00D62813" w:rsidRDefault="00F1608C" w:rsidP="00F1608C">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Davies, A. &amp; Wood, L. (2018). Homeless health care: Meeting the challenges of providing primary care. The Medical journal of Australia</w:t>
      </w:r>
    </w:p>
  </w:endnote>
  <w:endnote w:id="2">
    <w:p w14:paraId="3C29C2A6" w14:textId="77777777" w:rsidR="00D62813" w:rsidRPr="00D62813" w:rsidRDefault="00D62813" w:rsidP="00D62813">
      <w:pPr>
        <w:pStyle w:val="EndnoteText"/>
        <w:rPr>
          <w:rFonts w:asciiTheme="minorHAnsi" w:hAnsiTheme="minorHAnsi"/>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Flatau, P., Lester, L., Seivwright, A., Teal, R., Dobrovic, J., Vallesi, S., Hartley, C. and Callis, Z. (2021). Ending homelessness in Australia: An evidence and policy deep dive. Perth: Centre for Social Impact, The University of Western Australia and the University of New South Wales.</w:t>
      </w:r>
    </w:p>
  </w:endnote>
  <w:endnote w:id="3">
    <w:p w14:paraId="3651C433" w14:textId="77777777" w:rsidR="00D62813" w:rsidRPr="00D62813" w:rsidRDefault="00D62813" w:rsidP="00D62813">
      <w:pPr>
        <w:pStyle w:val="EndnoteText"/>
        <w:rPr>
          <w:rFonts w:asciiTheme="minorHAnsi" w:hAnsiTheme="minorHAnsi"/>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Family and Community Services Insights, Analysis Research (FACSIAR), Pathways to homelessness for young people leaving out-of-home care in NSW, 2023. </w:t>
      </w:r>
    </w:p>
  </w:endnote>
  <w:endnote w:id="4">
    <w:p w14:paraId="5B6B414C" w14:textId="77777777" w:rsidR="003965D2" w:rsidRPr="00D62813" w:rsidRDefault="003965D2" w:rsidP="003965D2">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Anglicare, Annual Report, 2021.</w:t>
      </w:r>
    </w:p>
  </w:endnote>
  <w:endnote w:id="5">
    <w:p w14:paraId="534846DB" w14:textId="77777777" w:rsidR="00D62813" w:rsidRPr="00D62813" w:rsidRDefault="00D62813" w:rsidP="00D62813">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NSW Government submission, Productivity Commission review of the National Housing and Homelessness Agreement, 2022.</w:t>
      </w:r>
    </w:p>
  </w:endnote>
  <w:endnote w:id="6">
    <w:p w14:paraId="3F2BCBDF" w14:textId="77777777" w:rsidR="00D62813" w:rsidRPr="00D62813" w:rsidRDefault="00D62813" w:rsidP="00D62813">
      <w:pPr>
        <w:pStyle w:val="EndnoteText"/>
        <w:rPr>
          <w:rFonts w:asciiTheme="minorHAnsi" w:hAnsiTheme="minorHAnsi"/>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Australian Institute of Health and Welfare, Family, Domestic and Sexual Violence: People from Culturally and Linguistically Diverse Backgrounds, 2024 </w:t>
      </w:r>
      <w:hyperlink r:id="rId1" w:history="1">
        <w:r w:rsidRPr="00D62813">
          <w:rPr>
            <w:rStyle w:val="Hyperlink"/>
            <w:rFonts w:asciiTheme="minorHAnsi" w:hAnsiTheme="minorHAnsi"/>
            <w:sz w:val="16"/>
            <w:szCs w:val="16"/>
            <w:u w:val="none"/>
          </w:rPr>
          <w:t>https://www.aihw.gov.au/family-domestic-and-sexual-violence/population-groups/cald</w:t>
        </w:r>
      </w:hyperlink>
      <w:r w:rsidRPr="00D62813">
        <w:rPr>
          <w:rFonts w:asciiTheme="minorHAnsi" w:hAnsiTheme="minorHAnsi"/>
          <w:color w:val="auto"/>
          <w:sz w:val="16"/>
          <w:szCs w:val="16"/>
        </w:rPr>
        <w:t xml:space="preserve"> </w:t>
      </w:r>
    </w:p>
  </w:endnote>
  <w:endnote w:id="7">
    <w:p w14:paraId="5D0B795D" w14:textId="77777777" w:rsidR="00D62813" w:rsidRPr="00D62813" w:rsidRDefault="00D62813" w:rsidP="00D62813">
      <w:pPr>
        <w:pStyle w:val="EndnoteText"/>
        <w:rPr>
          <w:rFonts w:asciiTheme="minorHAnsi" w:hAnsiTheme="minorHAnsi"/>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w:t>
      </w:r>
      <w:bookmarkStart w:id="4" w:name="_Hlk172895572"/>
      <w:r w:rsidRPr="00D62813">
        <w:rPr>
          <w:rFonts w:asciiTheme="minorHAnsi" w:hAnsiTheme="minorHAnsi"/>
          <w:color w:val="auto"/>
          <w:sz w:val="16"/>
          <w:szCs w:val="16"/>
        </w:rPr>
        <w:t>NSW Family and Community Services Insights, Analysis and Research (FACSIAR) Evidence Brief (January 2023) Pathways to homelessness for people with mental health issues in NSW</w:t>
      </w:r>
      <w:bookmarkEnd w:id="4"/>
      <w:r w:rsidRPr="00D62813">
        <w:rPr>
          <w:rFonts w:asciiTheme="minorHAnsi" w:hAnsiTheme="minorHAnsi"/>
          <w:color w:val="auto"/>
          <w:sz w:val="16"/>
          <w:szCs w:val="16"/>
        </w:rPr>
        <w:t xml:space="preserve"> </w:t>
      </w:r>
      <w:hyperlink r:id="rId2" w:history="1">
        <w:r w:rsidRPr="00D62813">
          <w:rPr>
            <w:rStyle w:val="Hyperlink"/>
            <w:rFonts w:asciiTheme="minorHAnsi" w:hAnsiTheme="minorHAnsi"/>
            <w:sz w:val="16"/>
            <w:szCs w:val="16"/>
            <w:u w:val="none"/>
          </w:rPr>
          <w:t>https://www.facs.nsw.gov.au/__data/assets/pdf_file/0008/842471/Pathways-to-homelessness-for-people-with-mental-health-issues-in-NSW-January-2023-Evidence-Brief.pdf</w:t>
        </w:r>
      </w:hyperlink>
      <w:r w:rsidRPr="00D62813">
        <w:rPr>
          <w:rFonts w:asciiTheme="minorHAnsi" w:hAnsiTheme="minorHAnsi"/>
          <w:color w:val="auto"/>
          <w:sz w:val="16"/>
          <w:szCs w:val="16"/>
        </w:rPr>
        <w:t xml:space="preserve"> </w:t>
      </w:r>
    </w:p>
  </w:endnote>
  <w:endnote w:id="8">
    <w:p w14:paraId="27A5AA90" w14:textId="77777777" w:rsidR="00F1608C" w:rsidRPr="00D62813" w:rsidRDefault="00F1608C" w:rsidP="00924741">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Australian Institute of Health and Welfare, Family, domestic and sexual violence in Australia: continuing the national story, 2019.</w:t>
      </w:r>
    </w:p>
  </w:endnote>
  <w:endnote w:id="9">
    <w:p w14:paraId="198D17CD" w14:textId="77777777" w:rsidR="00F1608C" w:rsidRPr="00D62813" w:rsidRDefault="00F1608C" w:rsidP="00924741">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Australian Institute of Health and Welfare, Child protection Australian 2021-22, 2023.</w:t>
      </w:r>
    </w:p>
  </w:endnote>
  <w:endnote w:id="10">
    <w:p w14:paraId="011CE042" w14:textId="77777777" w:rsidR="00D62813" w:rsidRPr="00D62813" w:rsidRDefault="00D62813" w:rsidP="00D62813">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Australian Institute of Health and Welfare, Contact with the criminal justice system, 2021.</w:t>
      </w:r>
    </w:p>
  </w:endnote>
  <w:endnote w:id="11">
    <w:p w14:paraId="21977E8B" w14:textId="77777777" w:rsidR="00D62813" w:rsidRPr="00D62813" w:rsidRDefault="00D62813" w:rsidP="00D62813">
      <w:pPr>
        <w:pStyle w:val="EndnoteText"/>
        <w:rPr>
          <w:rFonts w:asciiTheme="minorHAnsi" w:hAnsiTheme="minorHAnsi"/>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NSW Department of Families and Communities, Pathways to Homelessness </w:t>
      </w:r>
      <w:hyperlink r:id="rId3" w:anchor=":~:text=this%20vulnerable%20group.-,Exiting%20custody,that%20for%20non%2DAboriginal%20people" w:history="1">
        <w:r w:rsidRPr="00D62813">
          <w:rPr>
            <w:rStyle w:val="Hyperlink"/>
            <w:rFonts w:asciiTheme="minorHAnsi" w:hAnsiTheme="minorHAnsi"/>
            <w:sz w:val="16"/>
            <w:szCs w:val="16"/>
            <w:u w:val="none"/>
          </w:rPr>
          <w:t>https://www.facs.nsw.gov.au/housing/nsw-response-to-homelessness/understanding-homelessness-through-data/pathways-to-homelessness#:~:text=this%20vulnerable%20group.-,Exiting%20custody,that%20for%20non%2DAboriginal%20people</w:t>
        </w:r>
      </w:hyperlink>
      <w:r w:rsidRPr="00D62813">
        <w:rPr>
          <w:rFonts w:asciiTheme="minorHAnsi" w:hAnsiTheme="minorHAnsi"/>
          <w:color w:val="auto"/>
          <w:sz w:val="16"/>
          <w:szCs w:val="16"/>
        </w:rPr>
        <w:t xml:space="preserve"> </w:t>
      </w:r>
    </w:p>
  </w:endnote>
  <w:endnote w:id="12">
    <w:p w14:paraId="0FA312B5" w14:textId="77777777" w:rsidR="00D62813" w:rsidRPr="00D62813" w:rsidRDefault="00D62813" w:rsidP="00D62813">
      <w:pPr>
        <w:pStyle w:val="EndnoteText"/>
        <w:rPr>
          <w:rFonts w:asciiTheme="minorHAnsi" w:hAnsiTheme="minorHAnsi"/>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Martin, C., Reeve, R., McCausland, R., Baldry, E., Burton, P., White, R., Thomas, S., ‘Exiting Prison with Complex Support Needs: the Role of Housing Assistance’ AHURI Final Report No. 361 https://www.ahuri.edu.au/sites/default/files/documents/2021-09/AHURI-Final-Report-361-Exiting-prison-with-complex-support-needs-the-role-of-housing-assistance_0.pdf</w:t>
      </w:r>
    </w:p>
  </w:endnote>
  <w:endnote w:id="13">
    <w:p w14:paraId="4CAA1ABD" w14:textId="5E6523F6" w:rsidR="00D62813" w:rsidRPr="00D62813" w:rsidRDefault="00D62813" w:rsidP="00D62813">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NSW Parliament Inquiry, Homelessness Amongst Older People Aged over 55 in New South Wales </w:t>
      </w:r>
    </w:p>
  </w:endnote>
  <w:endnote w:id="14">
    <w:p w14:paraId="4C8AACC8" w14:textId="12EACAA0" w:rsidR="00E3553E" w:rsidRDefault="00E3553E">
      <w:pPr>
        <w:pStyle w:val="EndnoteText"/>
      </w:pPr>
      <w:r w:rsidRPr="00E3553E">
        <w:rPr>
          <w:rStyle w:val="EndnoteReference"/>
          <w:color w:val="auto"/>
        </w:rPr>
        <w:endnoteRef/>
      </w:r>
      <w:r w:rsidRPr="00E3553E">
        <w:rPr>
          <w:color w:val="auto"/>
        </w:rPr>
        <w:t xml:space="preserve"> </w:t>
      </w:r>
      <w:r w:rsidRPr="00E3553E">
        <w:rPr>
          <w:rFonts w:asciiTheme="minorHAnsi" w:hAnsiTheme="minorHAnsi"/>
          <w:color w:val="auto"/>
          <w:sz w:val="16"/>
          <w:szCs w:val="16"/>
        </w:rPr>
        <w:t xml:space="preserve">NSW Ageing and Disability Commission, in conjunction with the NSW Ageing and Disability Advisory Board, the NSW Ministerial </w:t>
      </w:r>
      <w:r w:rsidRPr="00237CB7">
        <w:rPr>
          <w:rFonts w:asciiTheme="minorHAnsi" w:hAnsiTheme="minorHAnsi"/>
          <w:color w:val="auto"/>
          <w:sz w:val="16"/>
          <w:szCs w:val="16"/>
        </w:rPr>
        <w:t>Advisory Council on Ageing, the Disability Council of NSW, and the NSW Carer’s Advisory Council, ‘Housing Issues for People with Disability, Older People and Carers in NSW’, 2023</w:t>
      </w:r>
    </w:p>
  </w:endnote>
  <w:endnote w:id="15">
    <w:p w14:paraId="1D0C2C1C" w14:textId="77777777" w:rsidR="008B2C51" w:rsidRPr="008B2C51" w:rsidRDefault="008B2C51" w:rsidP="008B2C51">
      <w:pPr>
        <w:pStyle w:val="EndnoteText"/>
        <w:rPr>
          <w:sz w:val="16"/>
          <w:szCs w:val="16"/>
        </w:rPr>
      </w:pPr>
      <w:r w:rsidRPr="00237CB7">
        <w:rPr>
          <w:rStyle w:val="EndnoteReference"/>
          <w:rFonts w:asciiTheme="minorHAnsi" w:hAnsiTheme="minorHAnsi"/>
          <w:color w:val="auto"/>
          <w:sz w:val="16"/>
          <w:szCs w:val="16"/>
        </w:rPr>
        <w:endnoteRef/>
      </w:r>
      <w:r w:rsidRPr="00237CB7">
        <w:rPr>
          <w:rFonts w:asciiTheme="minorHAnsi" w:hAnsiTheme="minorHAnsi"/>
          <w:color w:val="auto"/>
          <w:sz w:val="16"/>
          <w:szCs w:val="16"/>
        </w:rPr>
        <w:t xml:space="preserve"> NSW Ageing and Disability Commission, in conjunction with the NSW Ageing and Disability Advisory Board, the NSW Ministerial Advisory Council on Ageing, the Disability Council of NSW, and the NSW Carer’s Advisory Council, ‘Housing Issues for People with Disability, Older People and Carers in NSW’, 2023</w:t>
      </w:r>
      <w:r w:rsidRPr="008B2C51">
        <w:rPr>
          <w:color w:val="auto"/>
          <w:sz w:val="16"/>
          <w:szCs w:val="16"/>
        </w:rPr>
        <w:t xml:space="preserve"> </w:t>
      </w:r>
    </w:p>
  </w:endnote>
  <w:endnote w:id="16">
    <w:p w14:paraId="22591F71" w14:textId="77777777" w:rsidR="00D62813" w:rsidRPr="00D62813" w:rsidRDefault="00D62813" w:rsidP="00D62813">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NSW Government submission, Productivity Commission review of the National Housing and Homelessness Agreement, 2022.</w:t>
      </w:r>
    </w:p>
  </w:endnote>
  <w:endnote w:id="17">
    <w:p w14:paraId="2D7F5DCB" w14:textId="1C8044A0" w:rsidR="0006060A" w:rsidRPr="0006060A" w:rsidRDefault="0006060A">
      <w:pPr>
        <w:pStyle w:val="EndnoteText"/>
        <w:rPr>
          <w:color w:val="auto"/>
        </w:rPr>
      </w:pPr>
      <w:r w:rsidRPr="0006060A">
        <w:rPr>
          <w:rStyle w:val="EndnoteReference"/>
          <w:color w:val="auto"/>
        </w:rPr>
        <w:endnoteRef/>
      </w:r>
      <w:r w:rsidRPr="0006060A">
        <w:rPr>
          <w:color w:val="auto"/>
        </w:rPr>
        <w:t xml:space="preserve"> </w:t>
      </w:r>
      <w:r w:rsidRPr="0006060A">
        <w:rPr>
          <w:rFonts w:asciiTheme="minorHAnsi" w:hAnsiTheme="minorHAnsi"/>
          <w:color w:val="auto"/>
          <w:sz w:val="16"/>
          <w:szCs w:val="16"/>
        </w:rPr>
        <w:t>NSW Parliament Inquiry, Homelessness Amongst Older People Aged over 55 in New South Wales</w:t>
      </w:r>
      <w:r w:rsidR="00237CB7">
        <w:rPr>
          <w:rFonts w:asciiTheme="minorHAnsi" w:hAnsiTheme="minorHAnsi"/>
          <w:color w:val="auto"/>
          <w:sz w:val="16"/>
          <w:szCs w:val="16"/>
        </w:rPr>
        <w:t>, 2022</w:t>
      </w:r>
    </w:p>
  </w:endnote>
  <w:endnote w:id="18">
    <w:p w14:paraId="1895450D" w14:textId="7936D74F" w:rsidR="00237CB7" w:rsidRPr="00237CB7" w:rsidRDefault="00237CB7">
      <w:pPr>
        <w:pStyle w:val="EndnoteText"/>
        <w:rPr>
          <w:color w:val="auto"/>
        </w:rPr>
      </w:pPr>
      <w:r w:rsidRPr="00237CB7">
        <w:rPr>
          <w:rStyle w:val="EndnoteReference"/>
          <w:color w:val="auto"/>
        </w:rPr>
        <w:endnoteRef/>
      </w:r>
      <w:r w:rsidRPr="00237CB7">
        <w:rPr>
          <w:color w:val="auto"/>
        </w:rPr>
        <w:t xml:space="preserve"> </w:t>
      </w:r>
      <w:r w:rsidRPr="00237CB7">
        <w:rPr>
          <w:rFonts w:asciiTheme="minorHAnsi" w:hAnsiTheme="minorHAnsi"/>
          <w:color w:val="auto"/>
          <w:sz w:val="16"/>
          <w:szCs w:val="16"/>
        </w:rPr>
        <w:t>NSW Parliament Inquiry, Homelessness Amongst Older People Aged over 55 in New South Wales, 2022</w:t>
      </w:r>
    </w:p>
  </w:endnote>
  <w:endnote w:id="19">
    <w:p w14:paraId="160EFA7F" w14:textId="75F7A216" w:rsidR="00237CB7" w:rsidRPr="00237CB7" w:rsidRDefault="00237CB7">
      <w:pPr>
        <w:pStyle w:val="EndnoteText"/>
        <w:rPr>
          <w:rFonts w:asciiTheme="minorHAnsi" w:hAnsiTheme="minorHAnsi"/>
          <w:color w:val="auto"/>
          <w:sz w:val="16"/>
          <w:szCs w:val="16"/>
        </w:rPr>
      </w:pPr>
      <w:r w:rsidRPr="00237CB7">
        <w:rPr>
          <w:rStyle w:val="EndnoteReference"/>
          <w:rFonts w:asciiTheme="minorHAnsi" w:hAnsiTheme="minorHAnsi"/>
          <w:color w:val="auto"/>
          <w:sz w:val="16"/>
          <w:szCs w:val="16"/>
        </w:rPr>
        <w:endnoteRef/>
      </w:r>
      <w:r w:rsidRPr="00237CB7">
        <w:rPr>
          <w:rFonts w:asciiTheme="minorHAnsi" w:hAnsiTheme="minorHAnsi"/>
          <w:color w:val="auto"/>
          <w:sz w:val="16"/>
          <w:szCs w:val="16"/>
        </w:rPr>
        <w:t xml:space="preserve"> NSW Government Response to Recommendations: NSW Parliament Inquiry, Homelessness Amongst Older People Aged over 55 in New South Wales, 2022</w:t>
      </w:r>
    </w:p>
  </w:endnote>
  <w:endnote w:id="20">
    <w:p w14:paraId="7FDC921A" w14:textId="77777777" w:rsidR="00D62813" w:rsidRPr="00D62813" w:rsidRDefault="00D62813" w:rsidP="00D62813">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NSW Government submission, Productivity Commission review of the National Housing and Homelessness Agreement, 2022.</w:t>
      </w:r>
    </w:p>
  </w:endnote>
  <w:endnote w:id="21">
    <w:p w14:paraId="76386CBA" w14:textId="42903EBA" w:rsidR="00E3553E" w:rsidRPr="00E3553E" w:rsidRDefault="00E3553E">
      <w:pPr>
        <w:pStyle w:val="EndnoteText"/>
        <w:rPr>
          <w:color w:val="auto"/>
        </w:rPr>
      </w:pPr>
      <w:r w:rsidRPr="00E3553E">
        <w:rPr>
          <w:rStyle w:val="EndnoteReference"/>
          <w:color w:val="auto"/>
        </w:rPr>
        <w:endnoteRef/>
      </w:r>
      <w:r w:rsidRPr="00E3553E">
        <w:rPr>
          <w:color w:val="auto"/>
        </w:rPr>
        <w:t xml:space="preserve"> </w:t>
      </w:r>
      <w:r w:rsidRPr="00E3553E">
        <w:rPr>
          <w:rFonts w:asciiTheme="minorHAnsi" w:hAnsiTheme="minorHAnsi"/>
          <w:color w:val="auto"/>
          <w:sz w:val="16"/>
          <w:szCs w:val="16"/>
        </w:rPr>
        <w:t>NSW Ageing and Disability Commission, in conjunction with the NSW Ageing and Disability Advisory Board, the NSW Ministerial Advisory Council on Ageing, the Disability Council of NSW, and the NSW Carer’s Advisory Council, ‘Housing Issues for People with Disability, Older People and Carers in NSW’, 2023</w:t>
      </w:r>
      <w:r w:rsidRPr="00E3553E">
        <w:rPr>
          <w:color w:val="auto"/>
          <w:sz w:val="16"/>
          <w:szCs w:val="16"/>
        </w:rPr>
        <w:t xml:space="preserve"> </w:t>
      </w:r>
    </w:p>
  </w:endnote>
  <w:endnote w:id="22">
    <w:p w14:paraId="0F1E568D" w14:textId="37013262" w:rsidR="000D3264" w:rsidRDefault="000D3264">
      <w:pPr>
        <w:pStyle w:val="EndnoteText"/>
      </w:pPr>
      <w:r w:rsidRPr="000D3264">
        <w:rPr>
          <w:rStyle w:val="EndnoteReference"/>
          <w:color w:val="auto"/>
        </w:rPr>
        <w:endnoteRef/>
      </w:r>
      <w:r w:rsidRPr="000D3264">
        <w:rPr>
          <w:color w:val="auto"/>
        </w:rPr>
        <w:t xml:space="preserve"> </w:t>
      </w:r>
      <w:r w:rsidRPr="000D3264">
        <w:rPr>
          <w:rFonts w:asciiTheme="minorHAnsi" w:hAnsiTheme="minorHAnsi"/>
          <w:color w:val="auto"/>
          <w:sz w:val="16"/>
          <w:szCs w:val="16"/>
        </w:rPr>
        <w:t xml:space="preserve">NSW Ageing and Disability Commission, in conjunction with the NSW Ageing and Disability Advisory Board, the NSW Ministerial </w:t>
      </w:r>
      <w:r w:rsidRPr="00E3553E">
        <w:rPr>
          <w:rFonts w:asciiTheme="minorHAnsi" w:hAnsiTheme="minorHAnsi"/>
          <w:color w:val="auto"/>
          <w:sz w:val="16"/>
          <w:szCs w:val="16"/>
        </w:rPr>
        <w:t>Advisory Council on Ageing, the Disability Council of NSW, and the NSW Carer’s Advisory Council, ‘Housing Issues for People with Disability, Older People and Carers in NSW’, 2023</w:t>
      </w:r>
    </w:p>
  </w:endnote>
  <w:endnote w:id="23">
    <w:p w14:paraId="6BE76509" w14:textId="77777777" w:rsidR="00D62813" w:rsidRPr="00D62813" w:rsidRDefault="00D62813" w:rsidP="00D62813">
      <w:pPr>
        <w:pStyle w:val="EndnoteText"/>
        <w:rPr>
          <w:rFonts w:asciiTheme="minorHAnsi" w:hAnsiTheme="minorHAnsi"/>
          <w:sz w:val="16"/>
          <w:szCs w:val="16"/>
        </w:rPr>
      </w:pPr>
      <w:r w:rsidRPr="00E3553E">
        <w:rPr>
          <w:rStyle w:val="EndnoteReference"/>
          <w:rFonts w:asciiTheme="minorHAnsi" w:hAnsiTheme="minorHAnsi"/>
          <w:color w:val="auto"/>
          <w:sz w:val="16"/>
          <w:szCs w:val="16"/>
        </w:rPr>
        <w:endnoteRef/>
      </w:r>
      <w:r w:rsidRPr="00E3553E">
        <w:rPr>
          <w:rFonts w:asciiTheme="minorHAnsi" w:hAnsiTheme="minorHAnsi"/>
          <w:color w:val="auto"/>
          <w:sz w:val="16"/>
          <w:szCs w:val="16"/>
        </w:rPr>
        <w:t xml:space="preserve"> Australian Institute of Health and Welfare, Alcohol, Tabacco and Other Drugs in Australia: People Experiencing Homelessness </w:t>
      </w:r>
      <w:r w:rsidRPr="00D62813">
        <w:rPr>
          <w:rFonts w:asciiTheme="minorHAnsi" w:hAnsiTheme="minorHAnsi"/>
          <w:color w:val="auto"/>
          <w:sz w:val="16"/>
          <w:szCs w:val="16"/>
        </w:rPr>
        <w:t xml:space="preserve">(accessed 26 July 2024) </w:t>
      </w:r>
      <w:hyperlink r:id="rId4" w:history="1">
        <w:r w:rsidRPr="00D62813">
          <w:rPr>
            <w:rStyle w:val="Hyperlink"/>
            <w:rFonts w:asciiTheme="minorHAnsi" w:hAnsiTheme="minorHAnsi"/>
            <w:color w:val="auto"/>
            <w:sz w:val="16"/>
            <w:szCs w:val="16"/>
            <w:u w:val="none"/>
          </w:rPr>
          <w:t>https://www.aihw.gov.au/reports/alcohol/alcohol-tobacco-other-drugs-australia/contents/priority-populations/people-experiencing-homelessness</w:t>
        </w:r>
      </w:hyperlink>
      <w:r w:rsidRPr="00D62813">
        <w:rPr>
          <w:rFonts w:asciiTheme="minorHAnsi" w:hAnsiTheme="minorHAnsi"/>
          <w:color w:val="auto"/>
          <w:sz w:val="16"/>
          <w:szCs w:val="16"/>
        </w:rPr>
        <w:t xml:space="preserve"> </w:t>
      </w:r>
    </w:p>
  </w:endnote>
  <w:endnote w:id="24">
    <w:p w14:paraId="68F43E0E" w14:textId="77777777" w:rsidR="00D62813" w:rsidRPr="00D62813" w:rsidRDefault="00D62813" w:rsidP="00D62813">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Australian Institute of Health and Welfare, Specialist Homelessness Services (accessed 19 July 2024) https://www.aihw.gov.au/mental-health/snapshots/specialist-homelessness-services</w:t>
      </w:r>
    </w:p>
  </w:endnote>
  <w:endnote w:id="25">
    <w:p w14:paraId="354BA5E4" w14:textId="77777777" w:rsidR="00D62813" w:rsidRPr="00D62813" w:rsidRDefault="00D62813" w:rsidP="00D62813">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NSW Family and Community Services Insights, Analysis and Research (FACSIAR) Evidence Brief (January 2023) Pathways to homelessness for people experiencing domestic and family violence in NSW</w:t>
      </w:r>
    </w:p>
  </w:endnote>
  <w:endnote w:id="26">
    <w:p w14:paraId="42EC9FC6" w14:textId="77777777" w:rsidR="00D62813" w:rsidRPr="00D62813" w:rsidRDefault="00D62813" w:rsidP="00D62813">
      <w:pPr>
        <w:pStyle w:val="EndnoteText"/>
        <w:rPr>
          <w:rFonts w:asciiTheme="minorHAnsi" w:hAnsiTheme="minorHAnsi"/>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Australian Institute of Health and Welfare, Health of People Experiencing Homelessness, 2024 https://www.aihw.gov.au/reports/australias-health/health-of-people-experiencing-homelessness</w:t>
      </w:r>
    </w:p>
  </w:endnote>
  <w:endnote w:id="27">
    <w:p w14:paraId="14968891" w14:textId="77777777" w:rsidR="00D62813" w:rsidRPr="00D62813" w:rsidRDefault="00D62813" w:rsidP="00D62813">
      <w:pPr>
        <w:pStyle w:val="EndnoteText"/>
        <w:rPr>
          <w:rFonts w:asciiTheme="minorHAnsi" w:hAnsiTheme="minorHAnsi"/>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Australian Institute of Health and Welfare, Health of People Experiencing Homelessness, 2024 https://www.aihw.gov.au/reports/australias-health/health-of-people-experiencing-homelessness</w:t>
      </w:r>
    </w:p>
  </w:endnote>
  <w:endnote w:id="28">
    <w:p w14:paraId="1C79F1A6" w14:textId="77777777" w:rsidR="00D62813" w:rsidRPr="00D62813" w:rsidRDefault="00D62813" w:rsidP="00D62813">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ABS Census of Population and Housing 2021</w:t>
      </w:r>
    </w:p>
  </w:endnote>
  <w:endnote w:id="29">
    <w:p w14:paraId="1090DB1C" w14:textId="77777777" w:rsidR="00D62813" w:rsidRPr="00D62813" w:rsidRDefault="00D62813" w:rsidP="00D62813">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Australian Institute of Health and Welfare, Specialist Homelessness Services report for 2022-2023</w:t>
      </w:r>
    </w:p>
  </w:endnote>
  <w:endnote w:id="30">
    <w:p w14:paraId="707CC497" w14:textId="0643BF58" w:rsidR="001F0461" w:rsidRPr="00D62813" w:rsidRDefault="001F0461">
      <w:pPr>
        <w:pStyle w:val="EndnoteText"/>
        <w:rPr>
          <w:rFonts w:asciiTheme="minorHAnsi" w:hAnsiTheme="minorHAnsi"/>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w:t>
      </w:r>
      <w:r w:rsidRPr="00D62813">
        <w:rPr>
          <w:rFonts w:asciiTheme="minorHAnsi" w:eastAsiaTheme="minorEastAsia" w:hAnsiTheme="minorHAnsi" w:cstheme="minorBidi"/>
          <w:color w:val="auto"/>
          <w:sz w:val="16"/>
          <w:szCs w:val="16"/>
        </w:rPr>
        <w:t>Gaetz, S., B. O’Grandy, S. Kidd, and K. Schwan. 2016. Without a Home: The National Youth Homelessness Survey. Toronto: Canadian Observatory on Homelessness Press.</w:t>
      </w:r>
    </w:p>
  </w:endnote>
  <w:endnote w:id="31">
    <w:p w14:paraId="20150B2D" w14:textId="77777777" w:rsidR="00EA08DA" w:rsidRPr="00D62813" w:rsidRDefault="00EA08DA" w:rsidP="00EA08DA">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Australian Institute of Health and Welfare, Sleeping Rough: A Profile of Specialist Homelessness Services Clients, 2018 </w:t>
      </w:r>
      <w:hyperlink r:id="rId5" w:history="1">
        <w:r w:rsidRPr="00D62813">
          <w:rPr>
            <w:rStyle w:val="Hyperlink"/>
            <w:rFonts w:asciiTheme="minorHAnsi" w:hAnsiTheme="minorHAnsi"/>
            <w:color w:val="auto"/>
            <w:sz w:val="16"/>
            <w:szCs w:val="16"/>
            <w:u w:val="none"/>
          </w:rPr>
          <w:t>https://www.aihw.gov.au/reports/homelessness-services/sleeping-rough-profile-shs-clients/summary</w:t>
        </w:r>
      </w:hyperlink>
      <w:r w:rsidRPr="00D62813">
        <w:rPr>
          <w:rFonts w:asciiTheme="minorHAnsi" w:hAnsiTheme="minorHAnsi"/>
          <w:color w:val="auto"/>
          <w:sz w:val="16"/>
          <w:szCs w:val="16"/>
        </w:rPr>
        <w:t xml:space="preserve"> </w:t>
      </w:r>
    </w:p>
  </w:endnote>
  <w:endnote w:id="32">
    <w:p w14:paraId="4E253422" w14:textId="77777777" w:rsidR="00F1608C" w:rsidRPr="00D62813" w:rsidRDefault="00F1608C" w:rsidP="00924741">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National LGBTI Health Alliance</w:t>
      </w:r>
    </w:p>
  </w:endnote>
  <w:endnote w:id="33">
    <w:p w14:paraId="044DE209" w14:textId="77777777" w:rsidR="00F1608C" w:rsidRPr="00D62813" w:rsidRDefault="00F1608C" w:rsidP="00924741">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Fraser, Brodie, Nevil Pierse, Elinor Chisholm, and Hera Cook.2019.“LGBTIQ+ Homelessness: A Review of the Literature.” International Journal of Environmental Research and Public Health16(15): 2677.http://doi.org/10.3390/ijerph16152677.</w:t>
      </w:r>
    </w:p>
  </w:endnote>
  <w:endnote w:id="34">
    <w:p w14:paraId="3AE5130A" w14:textId="77777777" w:rsidR="00F1608C" w:rsidRPr="00D62813" w:rsidRDefault="00F1608C" w:rsidP="00924741">
      <w:pPr>
        <w:pStyle w:val="EndnoteText"/>
        <w:rPr>
          <w:rFonts w:asciiTheme="minorHAnsi" w:hAnsiTheme="minorHAnsi"/>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w:t>
      </w:r>
      <w:r w:rsidRPr="00D62813">
        <w:rPr>
          <w:rFonts w:asciiTheme="minorHAnsi" w:hAnsiTheme="minorHAnsi" w:cs="Arial"/>
          <w:color w:val="auto"/>
          <w:sz w:val="16"/>
          <w:szCs w:val="16"/>
        </w:rPr>
        <w:t>Abramovich, A., and J. Shelton, eds. 2017. Where Am I Going to Go? Intersectional Approaches to Ending LGBTQ2S Youth Homelessness in Canada &amp; the U.S. Toronto: Canadian Observatory on Homelessness Press.</w:t>
      </w:r>
    </w:p>
  </w:endnote>
  <w:endnote w:id="35">
    <w:p w14:paraId="01184113" w14:textId="77777777" w:rsidR="00F1608C" w:rsidRPr="00D62813" w:rsidRDefault="00F1608C" w:rsidP="00924741">
      <w:pPr>
        <w:suppressAutoHyphens w:val="0"/>
        <w:rPr>
          <w:rFonts w:asciiTheme="minorHAnsi" w:hAnsiTheme="minorHAnsi" w:cs="Arial"/>
          <w:color w:val="auto"/>
          <w:sz w:val="16"/>
          <w:szCs w:val="16"/>
        </w:rPr>
      </w:pPr>
      <w:r w:rsidRPr="00D62813">
        <w:rPr>
          <w:rStyle w:val="EndnoteReference"/>
          <w:rFonts w:asciiTheme="minorHAnsi" w:hAnsiTheme="minorHAnsi"/>
          <w:color w:val="auto"/>
          <w:sz w:val="16"/>
          <w:szCs w:val="16"/>
        </w:rPr>
        <w:endnoteRef/>
      </w:r>
      <w:r w:rsidRPr="00D62813">
        <w:rPr>
          <w:rFonts w:asciiTheme="minorHAnsi" w:hAnsiTheme="minorHAnsi"/>
          <w:color w:val="auto"/>
          <w:sz w:val="16"/>
          <w:szCs w:val="16"/>
        </w:rPr>
        <w:t xml:space="preserve"> </w:t>
      </w:r>
      <w:r w:rsidRPr="00D62813">
        <w:rPr>
          <w:rFonts w:asciiTheme="minorHAnsi" w:hAnsiTheme="minorHAnsi" w:cs="Arial"/>
          <w:color w:val="auto"/>
          <w:sz w:val="16"/>
          <w:szCs w:val="16"/>
        </w:rPr>
        <w:t>McNair, R., C. Andrews, S. Parkinson, and D. Dempsey. 2017. LGBTQ Homelessness: Risks, Resilience, and Access to Services in Victoria – Final Report. Melbourne</w:t>
      </w:r>
    </w:p>
    <w:p w14:paraId="1A853299" w14:textId="77777777" w:rsidR="00F1608C" w:rsidRDefault="00F1608C" w:rsidP="00D3062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34EF98B5-8A0D-4F23-AC17-52F972D0196E}"/>
    <w:embedBold r:id="rId2" w:fontKey="{28408C60-FF19-4876-9DCE-53C300F1F83B}"/>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3" w:subsetted="1" w:fontKey="{A9A66B26-3784-4282-B298-0DF222870F0F}"/>
  </w:font>
  <w:font w:name="Public Sans SemiBold">
    <w:panose1 w:val="00000000000000000000"/>
    <w:charset w:val="00"/>
    <w:family w:val="auto"/>
    <w:pitch w:val="variable"/>
    <w:sig w:usb0="A00000FF" w:usb1="4000205B" w:usb2="00000000" w:usb3="00000000" w:csb0="00000193" w:csb1="00000000"/>
    <w:embedRegular r:id="rId4" w:subsetted="1" w:fontKey="{92C05ED1-A4DE-49BA-AF26-835C72D7ECC1}"/>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1603" w14:textId="77777777" w:rsidR="00D4013B" w:rsidRPr="008F0B7B" w:rsidRDefault="00D4013B" w:rsidP="00D4013B">
    <w:pPr>
      <w:pStyle w:val="HeaderFooterSensitivityLabelSpace"/>
    </w:pPr>
  </w:p>
  <w:p w14:paraId="79B01F05" w14:textId="5BA5FC96" w:rsidR="004F4880" w:rsidRPr="00D4013B" w:rsidRDefault="00000000" w:rsidP="00D4013B">
    <w:pPr>
      <w:pStyle w:val="Footer"/>
    </w:pPr>
    <w:sdt>
      <w:sdtPr>
        <w:alias w:val="Title"/>
        <w:tag w:val="Title"/>
        <w:id w:val="2051493335"/>
        <w:placeholder>
          <w:docPart w:val="26F77956A64348EC87BAD44CCCB508EE"/>
        </w:placeholder>
        <w:dataBinding w:prefixMappings="xmlns:ns0='http://purl.org/dc/elements/1.1/' xmlns:ns1='http://schemas.openxmlformats.org/package/2006/metadata/core-properties' " w:xpath="/ns1:coreProperties[1]/ns0:title[1]" w:storeItemID="{6C3C8BC8-F283-45AE-878A-BAB7291924A1}"/>
        <w:text/>
      </w:sdtPr>
      <w:sdtContent>
        <w:r w:rsidR="001A2F64">
          <w:t>Fact Sheet #1: Respecting the diversity of homeless experiences</w:t>
        </w:r>
      </w:sdtContent>
    </w:sdt>
    <w:r w:rsidR="00D4013B">
      <w:t xml:space="preserve"> </w:t>
    </w:r>
    <w:r w:rsidR="00D4013B">
      <w:ptab w:relativeTo="margin" w:alignment="right" w:leader="none"/>
    </w:r>
    <w:r w:rsidR="00D4013B" w:rsidRPr="0004413C">
      <w:fldChar w:fldCharType="begin"/>
    </w:r>
    <w:r w:rsidR="00D4013B" w:rsidRPr="0004413C">
      <w:instrText xml:space="preserve"> PAGE   \* MERGEFORMAT </w:instrText>
    </w:r>
    <w:r w:rsidR="00D4013B" w:rsidRPr="0004413C">
      <w:fldChar w:fldCharType="separate"/>
    </w:r>
    <w:r w:rsidR="00D4013B">
      <w:t>1</w:t>
    </w:r>
    <w:r w:rsidR="00D4013B"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1EA4" w14:textId="77777777" w:rsidR="00576A0F" w:rsidRPr="008F0B7B" w:rsidRDefault="00576A0F" w:rsidP="00576A0F">
    <w:pPr>
      <w:pStyle w:val="HeaderFooterSensitivityLabelSpace"/>
    </w:pPr>
  </w:p>
  <w:p w14:paraId="0C8D5E0F" w14:textId="39CBAE4B" w:rsidR="00576A0F" w:rsidRPr="00576A0F" w:rsidRDefault="00000000" w:rsidP="00576A0F">
    <w:pPr>
      <w:pStyle w:val="Footer"/>
    </w:pPr>
    <w:sdt>
      <w:sdtPr>
        <w:alias w:val="Title"/>
        <w:tag w:val="Title"/>
        <w:id w:val="1072152929"/>
        <w:placeholder>
          <w:docPart w:val="2E7C5EFF51534A18B57122D7DA06CE3C"/>
        </w:placeholder>
        <w:dataBinding w:prefixMappings="xmlns:ns0='http://purl.org/dc/elements/1.1/' xmlns:ns1='http://schemas.openxmlformats.org/package/2006/metadata/core-properties' " w:xpath="/ns1:coreProperties[1]/ns0:title[1]" w:storeItemID="{6C3C8BC8-F283-45AE-878A-BAB7291924A1}"/>
        <w:text/>
      </w:sdtPr>
      <w:sdtContent>
        <w:r w:rsidR="001A2F64">
          <w:t>Fact Sheet #1: Respecting the diversity of homeless experiences</w:t>
        </w:r>
      </w:sdtContent>
    </w:sdt>
    <w:r w:rsidR="00697E8A">
      <w:t xml:space="preserve">  </w:t>
    </w:r>
    <w:r w:rsidR="00D4013B">
      <w:t xml:space="preserve"> </w:t>
    </w:r>
    <w:r w:rsidR="00576A0F">
      <w:ptab w:relativeTo="margin" w:alignment="right" w:leader="none"/>
    </w:r>
    <w:r w:rsidR="00576A0F" w:rsidRPr="0004413C">
      <w:fldChar w:fldCharType="begin"/>
    </w:r>
    <w:r w:rsidR="00576A0F" w:rsidRPr="0004413C">
      <w:instrText xml:space="preserve"> PAGE   \* MERGEFORMAT </w:instrText>
    </w:r>
    <w:r w:rsidR="00576A0F" w:rsidRPr="0004413C">
      <w:fldChar w:fldCharType="separate"/>
    </w:r>
    <w:r w:rsidR="00576A0F">
      <w:t>2</w:t>
    </w:r>
    <w:r w:rsidR="00576A0F" w:rsidRPr="000441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F9C0" w14:textId="77777777" w:rsidR="00CD659A" w:rsidRDefault="00CD659A" w:rsidP="008F0B7B">
      <w:pPr>
        <w:pStyle w:val="BodyText"/>
      </w:pPr>
      <w:r>
        <w:separator/>
      </w:r>
    </w:p>
  </w:footnote>
  <w:footnote w:type="continuationSeparator" w:id="0">
    <w:p w14:paraId="6F26F3A0" w14:textId="77777777" w:rsidR="00CD659A" w:rsidRPr="00D27532" w:rsidRDefault="00CD659A" w:rsidP="00D27532">
      <w:pPr>
        <w:pStyle w:val="BodyText"/>
      </w:pPr>
      <w:r>
        <w:separator/>
      </w:r>
    </w:p>
  </w:footnote>
  <w:footnote w:type="continuationNotice" w:id="1">
    <w:p w14:paraId="43CBFCDF" w14:textId="77777777" w:rsidR="00CD659A" w:rsidRPr="00D27532" w:rsidRDefault="00CD659A"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B3D0" w14:textId="77777777" w:rsidR="00576A0F" w:rsidRPr="00576A0F" w:rsidRDefault="00576A0F" w:rsidP="00576A0F">
    <w:pPr>
      <w:pStyle w:val="Header"/>
    </w:pPr>
    <w:r>
      <w:rPr>
        <w:noProof/>
      </w:rPr>
      <mc:AlternateContent>
        <mc:Choice Requires="wps">
          <w:drawing>
            <wp:anchor distT="71755" distB="71755" distL="114300" distR="114300" simplePos="0" relativeHeight="251660288" behindDoc="1" locked="0" layoutInCell="1" allowOverlap="1" wp14:anchorId="17A0F17C" wp14:editId="145CEC74">
              <wp:simplePos x="0" y="0"/>
              <wp:positionH relativeFrom="page">
                <wp:align>right</wp:align>
              </wp:positionH>
              <wp:positionV relativeFrom="page">
                <wp:posOffset>1476375</wp:posOffset>
              </wp:positionV>
              <wp:extent cx="7560000" cy="144000"/>
              <wp:effectExtent l="0" t="0" r="0" b="0"/>
              <wp:wrapTopAndBottom/>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4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99D22" id="Rectangle 1" o:spid="_x0000_s1026" alt="&quot;&quot;" style="position:absolute;margin-left:544.1pt;margin-top:116.25pt;width:595.3pt;height:11.35pt;z-index:-251656192;visibility:visible;mso-wrap-style:square;mso-width-percent:0;mso-height-percent:0;mso-wrap-distance-left:9pt;mso-wrap-distance-top:5.65pt;mso-wrap-distance-right:9pt;mso-wrap-distance-bottom:5.65pt;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q4ZgIAADYFAAAOAAAAZHJzL2Uyb0RvYy54bWysVE1v2zAMvQ/YfxB0X+wESbsFdYogRYYB&#10;QVssHXpWZak2IIsapcTJfv0o2XG6tthhmA8yJZKPH3rU1fWhMWyv0NdgCz4e5ZwpK6Gs7XPBfzys&#10;P33mzAdhS2HAqoIflefXi48frlo3VxOowJQKGYFYP29dwasQ3DzLvKxUI/wInLKk1ICNCLTF56xE&#10;0RJ6Y7JJnl9kLWDpEKTynk5vOiVfJHytlQx3WnsVmCk45RbSiml9imu2uBLzZxSuqmWfhviHLBpR&#10;Wwo6QN2IINgO6zdQTS0RPOgwktBkoHUtVaqBqhnnr6rZVsKpVAs1x7uhTf7/wcrb/dbdI7WhdX7u&#10;SYxVHDQ28U/5sUNq1nFoljoEJunwcnaR08eZJN14Oo0ywWRnb4c+fFXQsCgUHOkyUo/EfuNDZ3oy&#10;icEsrGtj0oUY+8cBYcaT7JxiksLRqGhn7HelWV1SUpMUILFHrQyyvaB7F1IqG8adqhKl6o5nKf0u&#10;j8EjFZAAI7KmhAbsHiAy8y12B9PbR1eVyDc4539LrHMePFJksGFwbmoL+B6Aoar6yJ39qUlda2KX&#10;nqA83iND6KjvnVzXdB0b4cO9QOI63SDNb7ijRRtoCw69xFkF+Ou982hPFCQtZy3NTsH9z51AxZn5&#10;ZomcXyIdaNjSZjq7nNAGX2qeXmrsrlkBXdOYXgonkxjtgzmJGqF5pDFfxqikElZS7ILLgKfNKnQz&#10;TQ+FVMtlMqMBcyJs7NbJCB67Gun2cHgU6HpOBmLzLZzmTMxfUbOzjZ4WlrsAuk68Pfe17zcNZyJO&#10;/5DE6X+5T1bn527xGwAA//8DAFBLAwQUAAYACAAAACEATyVih94AAAAJAQAADwAAAGRycy9kb3du&#10;cmV2LnhtbEyPzU7DMBCE70i8g7VI3KjTVKlKiFMBUoVQD6gt3B17m0TE68h2fvr2uCd6nJ3VzDfF&#10;djYdG9H51pKA5SIBhqSsbqkW8H3aPW2A+SBJy84SCrigh215f1fIXNuJDjgeQ81iCPlcCmhC6HPO&#10;vWrQSL+wPVL0ztYZGaJ0NddOTjHcdDxNkjU3sqXY0Mge3xtUv8fBCPix57fJqIo+x8tXO3zsnVKb&#10;vRCPD/PrC7CAc/h/hit+RIcyMlV2IO1ZJyAOCQLSVZoBu9rL52QNrIqnLEuBlwW/XVD+AQAA//8D&#10;AFBLAQItABQABgAIAAAAIQC2gziS/gAAAOEBAAATAAAAAAAAAAAAAAAAAAAAAABbQ29udGVudF9U&#10;eXBlc10ueG1sUEsBAi0AFAAGAAgAAAAhADj9If/WAAAAlAEAAAsAAAAAAAAAAAAAAAAALwEAAF9y&#10;ZWxzLy5yZWxzUEsBAi0AFAAGAAgAAAAhANoqGrhmAgAANgUAAA4AAAAAAAAAAAAAAAAALgIAAGRy&#10;cy9lMm9Eb2MueG1sUEsBAi0AFAAGAAgAAAAhAE8lYofeAAAACQEAAA8AAAAAAAAAAAAAAAAAwAQA&#10;AGRycy9kb3ducmV2LnhtbFBLBQYAAAAABAAEAPMAAADLBQAAAAA=&#10;" filled="f" stroked="f" strokeweight="1pt">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630019"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6EC3FED"/>
    <w:multiLevelType w:val="hybridMultilevel"/>
    <w:tmpl w:val="F482AC5A"/>
    <w:lvl w:ilvl="0" w:tplc="B71E6C0A">
      <w:start w:val="1"/>
      <w:numFmt w:val="bullet"/>
      <w:pStyle w:val="Bullet1"/>
      <w:lvlText w:val=""/>
      <w:lvlJc w:val="left"/>
      <w:pPr>
        <w:tabs>
          <w:tab w:val="num" w:pos="426"/>
        </w:tabs>
        <w:ind w:left="426" w:hanging="284"/>
      </w:pPr>
      <w:rPr>
        <w:rFonts w:ascii="Symbol" w:hAnsi="Symbol" w:hint="default"/>
        <w:color w:val="auto"/>
        <w:sz w:val="20"/>
      </w:rPr>
    </w:lvl>
    <w:lvl w:ilvl="1" w:tplc="04090003">
      <w:start w:val="1"/>
      <w:numFmt w:val="bullet"/>
      <w:lvlText w:val="o"/>
      <w:lvlJc w:val="left"/>
      <w:pPr>
        <w:ind w:left="1069"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AAE551E"/>
    <w:multiLevelType w:val="multilevel"/>
    <w:tmpl w:val="716A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6212BCC"/>
    <w:multiLevelType w:val="hybridMultilevel"/>
    <w:tmpl w:val="4342CF7A"/>
    <w:lvl w:ilvl="0" w:tplc="0C09000F">
      <w:start w:val="1"/>
      <w:numFmt w:val="decimal"/>
      <w:lvlText w:val="%1."/>
      <w:lvlJc w:val="left"/>
      <w:pPr>
        <w:tabs>
          <w:tab w:val="num" w:pos="357"/>
        </w:tabs>
        <w:ind w:left="357" w:hanging="357"/>
      </w:pPr>
      <w:rPr>
        <w:rFonts w:hint="default"/>
        <w:color w:val="22272B"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3A3E34"/>
    <w:multiLevelType w:val="hybridMultilevel"/>
    <w:tmpl w:val="006C6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4676FD"/>
    <w:multiLevelType w:val="hybridMultilevel"/>
    <w:tmpl w:val="29C27B4E"/>
    <w:lvl w:ilvl="0" w:tplc="0C090003">
      <w:start w:val="1"/>
      <w:numFmt w:val="bullet"/>
      <w:lvlText w:val="o"/>
      <w:lvlJc w:val="left"/>
      <w:pPr>
        <w:tabs>
          <w:tab w:val="num" w:pos="714"/>
        </w:tabs>
        <w:ind w:left="714" w:hanging="357"/>
      </w:pPr>
      <w:rPr>
        <w:rFonts w:ascii="Courier New" w:hAnsi="Courier New" w:cs="Courier New" w:hint="default"/>
        <w:color w:val="22272B" w:themeColor="text1"/>
        <w:sz w:val="2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B9169D4"/>
    <w:multiLevelType w:val="hybridMultilevel"/>
    <w:tmpl w:val="A6244EC8"/>
    <w:lvl w:ilvl="0" w:tplc="53C8823A">
      <w:numFmt w:val="bullet"/>
      <w:lvlText w:val="-"/>
      <w:lvlJc w:val="left"/>
      <w:pPr>
        <w:ind w:left="587" w:hanging="360"/>
      </w:pPr>
      <w:rPr>
        <w:rFonts w:ascii="Public Sans Light" w:eastAsia="Times New Roman" w:hAnsi="Public Sans Light" w:cs="Segoe UI"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1" w15:restartNumberingAfterBreak="0">
    <w:nsid w:val="4222522B"/>
    <w:multiLevelType w:val="hybridMultilevel"/>
    <w:tmpl w:val="55BA401C"/>
    <w:lvl w:ilvl="0" w:tplc="0C090001">
      <w:start w:val="1"/>
      <w:numFmt w:val="bullet"/>
      <w:lvlText w:val=""/>
      <w:lvlJc w:val="left"/>
      <w:pPr>
        <w:tabs>
          <w:tab w:val="num" w:pos="357"/>
        </w:tabs>
        <w:ind w:left="357" w:hanging="357"/>
      </w:pPr>
      <w:rPr>
        <w:rFonts w:ascii="Symbol" w:hAnsi="Symbol" w:hint="default"/>
        <w:color w:val="22272B"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505C1821"/>
    <w:multiLevelType w:val="hybridMultilevel"/>
    <w:tmpl w:val="A1C22A2A"/>
    <w:lvl w:ilvl="0" w:tplc="55BEC886">
      <w:start w:val="1"/>
      <w:numFmt w:val="bullet"/>
      <w:pStyle w:val="ListBullet"/>
      <w:lvlText w:val=""/>
      <w:lvlJc w:val="left"/>
      <w:pPr>
        <w:tabs>
          <w:tab w:val="num" w:pos="714"/>
        </w:tabs>
        <w:ind w:left="714" w:hanging="357"/>
      </w:pPr>
      <w:rPr>
        <w:rFonts w:ascii="Symbol" w:hAnsi="Symbol" w:hint="default"/>
        <w:color w:val="22272B" w:themeColor="text1"/>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5DA140FE"/>
    <w:multiLevelType w:val="multilevel"/>
    <w:tmpl w:val="EE48EAA8"/>
    <w:lvl w:ilvl="0">
      <w:start w:val="1"/>
      <w:numFmt w:val="none"/>
      <w:pStyle w:val="Heading1"/>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num w:numId="1" w16cid:durableId="3559734">
    <w:abstractNumId w:val="13"/>
  </w:num>
  <w:num w:numId="2" w16cid:durableId="237862121">
    <w:abstractNumId w:val="15"/>
  </w:num>
  <w:num w:numId="3" w16cid:durableId="1824735531">
    <w:abstractNumId w:val="9"/>
  </w:num>
  <w:num w:numId="4" w16cid:durableId="157503195">
    <w:abstractNumId w:val="3"/>
  </w:num>
  <w:num w:numId="5" w16cid:durableId="269706407">
    <w:abstractNumId w:val="7"/>
  </w:num>
  <w:num w:numId="6" w16cid:durableId="1602372547">
    <w:abstractNumId w:val="6"/>
  </w:num>
  <w:num w:numId="7" w16cid:durableId="847990096">
    <w:abstractNumId w:val="15"/>
  </w:num>
  <w:num w:numId="8" w16cid:durableId="503790137">
    <w:abstractNumId w:val="9"/>
  </w:num>
  <w:num w:numId="9" w16cid:durableId="2012565857">
    <w:abstractNumId w:val="3"/>
  </w:num>
  <w:num w:numId="10" w16cid:durableId="76903290">
    <w:abstractNumId w:val="7"/>
  </w:num>
  <w:num w:numId="11" w16cid:durableId="1335379687">
    <w:abstractNumId w:val="13"/>
  </w:num>
  <w:num w:numId="12" w16cid:durableId="2010210550">
    <w:abstractNumId w:val="6"/>
  </w:num>
  <w:num w:numId="13" w16cid:durableId="560553631">
    <w:abstractNumId w:val="16"/>
  </w:num>
  <w:num w:numId="14" w16cid:durableId="3276384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6"/>
    <w:lvlOverride w:ilvl="0">
      <w:startOverride w:val="1"/>
    </w:lvlOverride>
  </w:num>
  <w:num w:numId="17" w16cid:durableId="1320424502">
    <w:abstractNumId w:val="3"/>
    <w:lvlOverride w:ilvl="0">
      <w:startOverride w:val="1"/>
    </w:lvlOverride>
  </w:num>
  <w:num w:numId="18" w16cid:durableId="1383865277">
    <w:abstractNumId w:val="14"/>
  </w:num>
  <w:num w:numId="19" w16cid:durableId="474838122">
    <w:abstractNumId w:val="12"/>
  </w:num>
  <w:num w:numId="20" w16cid:durableId="939021083">
    <w:abstractNumId w:val="16"/>
  </w:num>
  <w:num w:numId="21" w16cid:durableId="810445401">
    <w:abstractNumId w:val="16"/>
  </w:num>
  <w:num w:numId="22" w16cid:durableId="129249107">
    <w:abstractNumId w:val="16"/>
  </w:num>
  <w:num w:numId="23" w16cid:durableId="2045253238">
    <w:abstractNumId w:val="16"/>
  </w:num>
  <w:num w:numId="24" w16cid:durableId="760687440">
    <w:abstractNumId w:val="16"/>
  </w:num>
  <w:num w:numId="25" w16cid:durableId="2019191703">
    <w:abstractNumId w:val="16"/>
  </w:num>
  <w:num w:numId="26" w16cid:durableId="1511988725">
    <w:abstractNumId w:val="16"/>
  </w:num>
  <w:num w:numId="27" w16cid:durableId="1965496359">
    <w:abstractNumId w:val="16"/>
  </w:num>
  <w:num w:numId="28" w16cid:durableId="1690599121">
    <w:abstractNumId w:val="16"/>
  </w:num>
  <w:num w:numId="29" w16cid:durableId="298727540">
    <w:abstractNumId w:val="13"/>
  </w:num>
  <w:num w:numId="30" w16cid:durableId="2093775727">
    <w:abstractNumId w:val="4"/>
  </w:num>
  <w:num w:numId="31" w16cid:durableId="28116452">
    <w:abstractNumId w:val="11"/>
  </w:num>
  <w:num w:numId="32" w16cid:durableId="2145653605">
    <w:abstractNumId w:val="13"/>
  </w:num>
  <w:num w:numId="33" w16cid:durableId="598097455">
    <w:abstractNumId w:val="10"/>
  </w:num>
  <w:num w:numId="34" w16cid:durableId="1633707816">
    <w:abstractNumId w:val="1"/>
  </w:num>
  <w:num w:numId="35" w16cid:durableId="234751539">
    <w:abstractNumId w:val="8"/>
  </w:num>
  <w:num w:numId="36" w16cid:durableId="72164652">
    <w:abstractNumId w:val="5"/>
  </w:num>
  <w:num w:numId="37" w16cid:durableId="850337071">
    <w:abstractNumId w:val="13"/>
  </w:num>
  <w:num w:numId="38" w16cid:durableId="370502450">
    <w:abstractNumId w:val="2"/>
  </w:num>
  <w:num w:numId="39" w16cid:durableId="355892976">
    <w:abstractNumId w:val="13"/>
  </w:num>
  <w:num w:numId="40" w16cid:durableId="1025060216">
    <w:abstractNumId w:val="13"/>
  </w:num>
  <w:num w:numId="41" w16cid:durableId="113313768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readOnly" w:enforcement="1" w:cryptProviderType="rsaAES" w:cryptAlgorithmClass="hash" w:cryptAlgorithmType="typeAny" w:cryptAlgorithmSid="14" w:cryptSpinCount="100000" w:hash="8mF/nKxkrVuCxwoQaInIKT/KOhSudESQKwiZG6zeKJKzny+ovMFrcr0cLVyo1GNtkN9D26Uvb9bnx22UEqTJfA==" w:salt="UYdgcAm4AGo+TMlFt/1uZw=="/>
  <w:defaultTabStop w:val="720"/>
  <w:clickAndTypeStyle w:val="BodyText"/>
  <w:characterSpacingControl w:val="doNotCompress"/>
  <w:hdrShapeDefaults>
    <o:shapedefaults v:ext="edit" spidmax="2050"/>
  </w:hdrShapeDefault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53"/>
    <w:rsid w:val="00002C93"/>
    <w:rsid w:val="00003583"/>
    <w:rsid w:val="00003709"/>
    <w:rsid w:val="00003E3B"/>
    <w:rsid w:val="00005754"/>
    <w:rsid w:val="00005FC0"/>
    <w:rsid w:val="000100A3"/>
    <w:rsid w:val="0001088E"/>
    <w:rsid w:val="0001117B"/>
    <w:rsid w:val="00014D02"/>
    <w:rsid w:val="00020713"/>
    <w:rsid w:val="00021A2F"/>
    <w:rsid w:val="00024B98"/>
    <w:rsid w:val="00025B3C"/>
    <w:rsid w:val="0002627E"/>
    <w:rsid w:val="00027A61"/>
    <w:rsid w:val="00030C2E"/>
    <w:rsid w:val="000319D3"/>
    <w:rsid w:val="000330D7"/>
    <w:rsid w:val="000339CA"/>
    <w:rsid w:val="000369F8"/>
    <w:rsid w:val="0003751F"/>
    <w:rsid w:val="00037776"/>
    <w:rsid w:val="00041B38"/>
    <w:rsid w:val="0004413C"/>
    <w:rsid w:val="00044CEA"/>
    <w:rsid w:val="00046ACD"/>
    <w:rsid w:val="00051B1A"/>
    <w:rsid w:val="0005359F"/>
    <w:rsid w:val="00055779"/>
    <w:rsid w:val="000557C6"/>
    <w:rsid w:val="0006060A"/>
    <w:rsid w:val="00060853"/>
    <w:rsid w:val="0006477C"/>
    <w:rsid w:val="00070EC3"/>
    <w:rsid w:val="00072B2F"/>
    <w:rsid w:val="00073588"/>
    <w:rsid w:val="00074C16"/>
    <w:rsid w:val="00080760"/>
    <w:rsid w:val="00080C66"/>
    <w:rsid w:val="00081C00"/>
    <w:rsid w:val="00081DA7"/>
    <w:rsid w:val="00087FF3"/>
    <w:rsid w:val="00091ABC"/>
    <w:rsid w:val="00091C81"/>
    <w:rsid w:val="000926DF"/>
    <w:rsid w:val="00092B26"/>
    <w:rsid w:val="00097C7F"/>
    <w:rsid w:val="000A0A02"/>
    <w:rsid w:val="000A1059"/>
    <w:rsid w:val="000A1E91"/>
    <w:rsid w:val="000A2F39"/>
    <w:rsid w:val="000A381D"/>
    <w:rsid w:val="000A5A67"/>
    <w:rsid w:val="000A65D2"/>
    <w:rsid w:val="000A739E"/>
    <w:rsid w:val="000A7E35"/>
    <w:rsid w:val="000B05DF"/>
    <w:rsid w:val="000B3148"/>
    <w:rsid w:val="000B4613"/>
    <w:rsid w:val="000B619D"/>
    <w:rsid w:val="000B69BA"/>
    <w:rsid w:val="000B74F6"/>
    <w:rsid w:val="000B7F4B"/>
    <w:rsid w:val="000C30EA"/>
    <w:rsid w:val="000C7688"/>
    <w:rsid w:val="000D2C1A"/>
    <w:rsid w:val="000D3264"/>
    <w:rsid w:val="000D3809"/>
    <w:rsid w:val="000D403B"/>
    <w:rsid w:val="000D5CAC"/>
    <w:rsid w:val="000D6B77"/>
    <w:rsid w:val="000D737E"/>
    <w:rsid w:val="000E015F"/>
    <w:rsid w:val="000E0434"/>
    <w:rsid w:val="000E11C1"/>
    <w:rsid w:val="000E40B9"/>
    <w:rsid w:val="000E5B38"/>
    <w:rsid w:val="000E7003"/>
    <w:rsid w:val="000F31B8"/>
    <w:rsid w:val="000F36A1"/>
    <w:rsid w:val="000F689C"/>
    <w:rsid w:val="00102B6E"/>
    <w:rsid w:val="00103873"/>
    <w:rsid w:val="00105220"/>
    <w:rsid w:val="00107B0D"/>
    <w:rsid w:val="001106A0"/>
    <w:rsid w:val="00111713"/>
    <w:rsid w:val="00111775"/>
    <w:rsid w:val="00112FAD"/>
    <w:rsid w:val="00114A73"/>
    <w:rsid w:val="00115366"/>
    <w:rsid w:val="001158E0"/>
    <w:rsid w:val="00116545"/>
    <w:rsid w:val="00116563"/>
    <w:rsid w:val="00116CED"/>
    <w:rsid w:val="0011767C"/>
    <w:rsid w:val="001269A2"/>
    <w:rsid w:val="00127421"/>
    <w:rsid w:val="00131292"/>
    <w:rsid w:val="0013204F"/>
    <w:rsid w:val="00132C13"/>
    <w:rsid w:val="00132C9F"/>
    <w:rsid w:val="0013421B"/>
    <w:rsid w:val="00134A1F"/>
    <w:rsid w:val="00134CAE"/>
    <w:rsid w:val="001359E7"/>
    <w:rsid w:val="00140DE1"/>
    <w:rsid w:val="0014157C"/>
    <w:rsid w:val="001419CE"/>
    <w:rsid w:val="00142478"/>
    <w:rsid w:val="001439D4"/>
    <w:rsid w:val="001476EF"/>
    <w:rsid w:val="00150CAE"/>
    <w:rsid w:val="0015137D"/>
    <w:rsid w:val="001519E4"/>
    <w:rsid w:val="001524E1"/>
    <w:rsid w:val="001533A2"/>
    <w:rsid w:val="00155994"/>
    <w:rsid w:val="00157976"/>
    <w:rsid w:val="001627B2"/>
    <w:rsid w:val="00163F0B"/>
    <w:rsid w:val="00166413"/>
    <w:rsid w:val="0017068C"/>
    <w:rsid w:val="00171F16"/>
    <w:rsid w:val="001728CA"/>
    <w:rsid w:val="00173240"/>
    <w:rsid w:val="00174347"/>
    <w:rsid w:val="001743EB"/>
    <w:rsid w:val="00174CA3"/>
    <w:rsid w:val="00180847"/>
    <w:rsid w:val="00180CE8"/>
    <w:rsid w:val="00181EAF"/>
    <w:rsid w:val="0018488D"/>
    <w:rsid w:val="001879A8"/>
    <w:rsid w:val="00187AB5"/>
    <w:rsid w:val="0019091F"/>
    <w:rsid w:val="001909B9"/>
    <w:rsid w:val="001934EB"/>
    <w:rsid w:val="00194A85"/>
    <w:rsid w:val="001A15D5"/>
    <w:rsid w:val="001A1F72"/>
    <w:rsid w:val="001A2F64"/>
    <w:rsid w:val="001A35E5"/>
    <w:rsid w:val="001A628B"/>
    <w:rsid w:val="001A6AF8"/>
    <w:rsid w:val="001B2193"/>
    <w:rsid w:val="001B2E63"/>
    <w:rsid w:val="001B3EE6"/>
    <w:rsid w:val="001B455D"/>
    <w:rsid w:val="001B4F9A"/>
    <w:rsid w:val="001C07C2"/>
    <w:rsid w:val="001C0A67"/>
    <w:rsid w:val="001C1CD0"/>
    <w:rsid w:val="001C43B2"/>
    <w:rsid w:val="001C4B93"/>
    <w:rsid w:val="001C4E88"/>
    <w:rsid w:val="001D4524"/>
    <w:rsid w:val="001D4C98"/>
    <w:rsid w:val="001D754D"/>
    <w:rsid w:val="001E04AA"/>
    <w:rsid w:val="001E0611"/>
    <w:rsid w:val="001E0762"/>
    <w:rsid w:val="001E1988"/>
    <w:rsid w:val="001E2119"/>
    <w:rsid w:val="001E52C6"/>
    <w:rsid w:val="001E5591"/>
    <w:rsid w:val="001E79F1"/>
    <w:rsid w:val="001F010F"/>
    <w:rsid w:val="001F0461"/>
    <w:rsid w:val="001F162D"/>
    <w:rsid w:val="001F1AB6"/>
    <w:rsid w:val="001F2523"/>
    <w:rsid w:val="001F3130"/>
    <w:rsid w:val="001F35AC"/>
    <w:rsid w:val="001F398C"/>
    <w:rsid w:val="001F485D"/>
    <w:rsid w:val="00202F93"/>
    <w:rsid w:val="002077EC"/>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37CB7"/>
    <w:rsid w:val="002409AB"/>
    <w:rsid w:val="00241221"/>
    <w:rsid w:val="002434EF"/>
    <w:rsid w:val="0024397F"/>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F66"/>
    <w:rsid w:val="0027645B"/>
    <w:rsid w:val="00281626"/>
    <w:rsid w:val="00281877"/>
    <w:rsid w:val="00281903"/>
    <w:rsid w:val="00282330"/>
    <w:rsid w:val="0029290D"/>
    <w:rsid w:val="00292F47"/>
    <w:rsid w:val="0029399F"/>
    <w:rsid w:val="002942EF"/>
    <w:rsid w:val="002966B6"/>
    <w:rsid w:val="00296B07"/>
    <w:rsid w:val="00296F31"/>
    <w:rsid w:val="002A2397"/>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3AF2"/>
    <w:rsid w:val="002F509E"/>
    <w:rsid w:val="002F5849"/>
    <w:rsid w:val="002F6787"/>
    <w:rsid w:val="003002D8"/>
    <w:rsid w:val="00301448"/>
    <w:rsid w:val="00302B5E"/>
    <w:rsid w:val="00305D59"/>
    <w:rsid w:val="00305D69"/>
    <w:rsid w:val="003115C3"/>
    <w:rsid w:val="00312BFC"/>
    <w:rsid w:val="00316E09"/>
    <w:rsid w:val="00317A45"/>
    <w:rsid w:val="0032039E"/>
    <w:rsid w:val="003207C1"/>
    <w:rsid w:val="00320A84"/>
    <w:rsid w:val="00321DF2"/>
    <w:rsid w:val="0032396E"/>
    <w:rsid w:val="0033658D"/>
    <w:rsid w:val="00340CA0"/>
    <w:rsid w:val="00341877"/>
    <w:rsid w:val="00341CE1"/>
    <w:rsid w:val="0034214B"/>
    <w:rsid w:val="00344B84"/>
    <w:rsid w:val="00345BF7"/>
    <w:rsid w:val="00352215"/>
    <w:rsid w:val="00353985"/>
    <w:rsid w:val="00355312"/>
    <w:rsid w:val="00360A66"/>
    <w:rsid w:val="00362F86"/>
    <w:rsid w:val="0036379C"/>
    <w:rsid w:val="00364485"/>
    <w:rsid w:val="00364F93"/>
    <w:rsid w:val="003656D5"/>
    <w:rsid w:val="00367A43"/>
    <w:rsid w:val="003707FD"/>
    <w:rsid w:val="003732D5"/>
    <w:rsid w:val="00374C56"/>
    <w:rsid w:val="00380906"/>
    <w:rsid w:val="00384FC9"/>
    <w:rsid w:val="0038503D"/>
    <w:rsid w:val="0038513D"/>
    <w:rsid w:val="00392092"/>
    <w:rsid w:val="00393908"/>
    <w:rsid w:val="00394652"/>
    <w:rsid w:val="00395097"/>
    <w:rsid w:val="003963C6"/>
    <w:rsid w:val="003965D2"/>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37DE"/>
    <w:rsid w:val="003C3E43"/>
    <w:rsid w:val="003C5285"/>
    <w:rsid w:val="003C564B"/>
    <w:rsid w:val="003C68CF"/>
    <w:rsid w:val="003C6DDB"/>
    <w:rsid w:val="003C6E18"/>
    <w:rsid w:val="003D0829"/>
    <w:rsid w:val="003D121F"/>
    <w:rsid w:val="003D3D47"/>
    <w:rsid w:val="003E0ADC"/>
    <w:rsid w:val="003E1FC0"/>
    <w:rsid w:val="003E46FD"/>
    <w:rsid w:val="003E7427"/>
    <w:rsid w:val="003E7B8D"/>
    <w:rsid w:val="003F443B"/>
    <w:rsid w:val="003F5577"/>
    <w:rsid w:val="003F5A8C"/>
    <w:rsid w:val="003F66CB"/>
    <w:rsid w:val="00403322"/>
    <w:rsid w:val="00404B96"/>
    <w:rsid w:val="00407FEC"/>
    <w:rsid w:val="0041074F"/>
    <w:rsid w:val="004116A7"/>
    <w:rsid w:val="004127CC"/>
    <w:rsid w:val="004131BC"/>
    <w:rsid w:val="004140A4"/>
    <w:rsid w:val="00414A53"/>
    <w:rsid w:val="00414BBA"/>
    <w:rsid w:val="0041511C"/>
    <w:rsid w:val="00416770"/>
    <w:rsid w:val="00420FAE"/>
    <w:rsid w:val="00422CD0"/>
    <w:rsid w:val="00426CEC"/>
    <w:rsid w:val="00426EE8"/>
    <w:rsid w:val="00430DD9"/>
    <w:rsid w:val="004313CA"/>
    <w:rsid w:val="00432DB3"/>
    <w:rsid w:val="0043431C"/>
    <w:rsid w:val="00441AD7"/>
    <w:rsid w:val="00446065"/>
    <w:rsid w:val="00446E19"/>
    <w:rsid w:val="00446E28"/>
    <w:rsid w:val="00447CF6"/>
    <w:rsid w:val="00453949"/>
    <w:rsid w:val="00453F7C"/>
    <w:rsid w:val="00454279"/>
    <w:rsid w:val="0045569A"/>
    <w:rsid w:val="004558E7"/>
    <w:rsid w:val="004561DF"/>
    <w:rsid w:val="004567FF"/>
    <w:rsid w:val="00456C2D"/>
    <w:rsid w:val="00460F74"/>
    <w:rsid w:val="00464235"/>
    <w:rsid w:val="00465194"/>
    <w:rsid w:val="00470991"/>
    <w:rsid w:val="004712B1"/>
    <w:rsid w:val="00472B80"/>
    <w:rsid w:val="0047302D"/>
    <w:rsid w:val="00473FB7"/>
    <w:rsid w:val="00474864"/>
    <w:rsid w:val="00475A28"/>
    <w:rsid w:val="004766D2"/>
    <w:rsid w:val="00481165"/>
    <w:rsid w:val="00482E74"/>
    <w:rsid w:val="0048376E"/>
    <w:rsid w:val="00483979"/>
    <w:rsid w:val="00483FF3"/>
    <w:rsid w:val="00486745"/>
    <w:rsid w:val="00492842"/>
    <w:rsid w:val="00495D51"/>
    <w:rsid w:val="004964CC"/>
    <w:rsid w:val="00496E18"/>
    <w:rsid w:val="004A4836"/>
    <w:rsid w:val="004A711A"/>
    <w:rsid w:val="004A7DBB"/>
    <w:rsid w:val="004A7EA0"/>
    <w:rsid w:val="004B13EA"/>
    <w:rsid w:val="004B29B9"/>
    <w:rsid w:val="004B3B66"/>
    <w:rsid w:val="004B7A95"/>
    <w:rsid w:val="004C02EC"/>
    <w:rsid w:val="004C0AA2"/>
    <w:rsid w:val="004C1A21"/>
    <w:rsid w:val="004C1FE7"/>
    <w:rsid w:val="004C35B2"/>
    <w:rsid w:val="004C7432"/>
    <w:rsid w:val="004C75EC"/>
    <w:rsid w:val="004C7798"/>
    <w:rsid w:val="004C7EF9"/>
    <w:rsid w:val="004D3942"/>
    <w:rsid w:val="004D4D99"/>
    <w:rsid w:val="004D7F18"/>
    <w:rsid w:val="004E0A64"/>
    <w:rsid w:val="004E2A2B"/>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11D17"/>
    <w:rsid w:val="005152D9"/>
    <w:rsid w:val="00520735"/>
    <w:rsid w:val="00520B3C"/>
    <w:rsid w:val="005215D9"/>
    <w:rsid w:val="005218C6"/>
    <w:rsid w:val="00527388"/>
    <w:rsid w:val="00527689"/>
    <w:rsid w:val="00530B13"/>
    <w:rsid w:val="00531EBE"/>
    <w:rsid w:val="0053238E"/>
    <w:rsid w:val="00532E15"/>
    <w:rsid w:val="00535C1B"/>
    <w:rsid w:val="005435A9"/>
    <w:rsid w:val="00544E33"/>
    <w:rsid w:val="00545D01"/>
    <w:rsid w:val="00547627"/>
    <w:rsid w:val="00547B57"/>
    <w:rsid w:val="00550F70"/>
    <w:rsid w:val="0055107D"/>
    <w:rsid w:val="00551B17"/>
    <w:rsid w:val="005524D9"/>
    <w:rsid w:val="0055273C"/>
    <w:rsid w:val="00553A4E"/>
    <w:rsid w:val="00557ABF"/>
    <w:rsid w:val="00561EDF"/>
    <w:rsid w:val="00566274"/>
    <w:rsid w:val="005665AE"/>
    <w:rsid w:val="005668BE"/>
    <w:rsid w:val="00567D3C"/>
    <w:rsid w:val="005739A5"/>
    <w:rsid w:val="00576A0F"/>
    <w:rsid w:val="00576F5B"/>
    <w:rsid w:val="00576FCB"/>
    <w:rsid w:val="0057714C"/>
    <w:rsid w:val="00577376"/>
    <w:rsid w:val="00583F3E"/>
    <w:rsid w:val="00586CF7"/>
    <w:rsid w:val="00591292"/>
    <w:rsid w:val="0059207E"/>
    <w:rsid w:val="00594DAC"/>
    <w:rsid w:val="00596533"/>
    <w:rsid w:val="005967DC"/>
    <w:rsid w:val="00597ED3"/>
    <w:rsid w:val="005A0305"/>
    <w:rsid w:val="005A0798"/>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4920"/>
    <w:rsid w:val="005D66AB"/>
    <w:rsid w:val="005D6C47"/>
    <w:rsid w:val="005D7D80"/>
    <w:rsid w:val="005E133C"/>
    <w:rsid w:val="005E1EE8"/>
    <w:rsid w:val="005E5E73"/>
    <w:rsid w:val="005E5EC0"/>
    <w:rsid w:val="005F13CF"/>
    <w:rsid w:val="005F1786"/>
    <w:rsid w:val="005F252B"/>
    <w:rsid w:val="005F3452"/>
    <w:rsid w:val="005F4544"/>
    <w:rsid w:val="005F4D0E"/>
    <w:rsid w:val="005F4E00"/>
    <w:rsid w:val="005F4E21"/>
    <w:rsid w:val="005F7DC8"/>
    <w:rsid w:val="00604066"/>
    <w:rsid w:val="00604F1E"/>
    <w:rsid w:val="00607F1A"/>
    <w:rsid w:val="006104C0"/>
    <w:rsid w:val="00613A4E"/>
    <w:rsid w:val="00614C8E"/>
    <w:rsid w:val="0062036B"/>
    <w:rsid w:val="006209CA"/>
    <w:rsid w:val="00625C3F"/>
    <w:rsid w:val="0062664C"/>
    <w:rsid w:val="00630C19"/>
    <w:rsid w:val="00631775"/>
    <w:rsid w:val="00631915"/>
    <w:rsid w:val="00631E73"/>
    <w:rsid w:val="00634883"/>
    <w:rsid w:val="0063593D"/>
    <w:rsid w:val="00635A04"/>
    <w:rsid w:val="00640D34"/>
    <w:rsid w:val="006465D3"/>
    <w:rsid w:val="00646C46"/>
    <w:rsid w:val="00646F75"/>
    <w:rsid w:val="006520C0"/>
    <w:rsid w:val="0065300A"/>
    <w:rsid w:val="00653A26"/>
    <w:rsid w:val="0065415F"/>
    <w:rsid w:val="006559EA"/>
    <w:rsid w:val="00657AE4"/>
    <w:rsid w:val="0066005B"/>
    <w:rsid w:val="006627C3"/>
    <w:rsid w:val="006667FD"/>
    <w:rsid w:val="00671864"/>
    <w:rsid w:val="00674361"/>
    <w:rsid w:val="00676178"/>
    <w:rsid w:val="0067638B"/>
    <w:rsid w:val="00677741"/>
    <w:rsid w:val="0068068A"/>
    <w:rsid w:val="006817D7"/>
    <w:rsid w:val="00682535"/>
    <w:rsid w:val="00683C09"/>
    <w:rsid w:val="006902D1"/>
    <w:rsid w:val="006911F3"/>
    <w:rsid w:val="00693A3C"/>
    <w:rsid w:val="00693BE4"/>
    <w:rsid w:val="00697E8A"/>
    <w:rsid w:val="006A10E4"/>
    <w:rsid w:val="006A288E"/>
    <w:rsid w:val="006A2F1E"/>
    <w:rsid w:val="006A53BA"/>
    <w:rsid w:val="006A577C"/>
    <w:rsid w:val="006B3040"/>
    <w:rsid w:val="006B318B"/>
    <w:rsid w:val="006B43B3"/>
    <w:rsid w:val="006B632F"/>
    <w:rsid w:val="006B6F3B"/>
    <w:rsid w:val="006C2468"/>
    <w:rsid w:val="006C39CD"/>
    <w:rsid w:val="006C4799"/>
    <w:rsid w:val="006C5EDD"/>
    <w:rsid w:val="006C5F6F"/>
    <w:rsid w:val="006C6EEC"/>
    <w:rsid w:val="006D0D78"/>
    <w:rsid w:val="006D2F45"/>
    <w:rsid w:val="006D3D51"/>
    <w:rsid w:val="006D5DEF"/>
    <w:rsid w:val="006E00E3"/>
    <w:rsid w:val="006E4A18"/>
    <w:rsid w:val="006E4DEE"/>
    <w:rsid w:val="006E50FF"/>
    <w:rsid w:val="006E5998"/>
    <w:rsid w:val="006E76C9"/>
    <w:rsid w:val="006E79DB"/>
    <w:rsid w:val="006F05BE"/>
    <w:rsid w:val="006F14B6"/>
    <w:rsid w:val="006F17A1"/>
    <w:rsid w:val="006F1C9E"/>
    <w:rsid w:val="006F2BCD"/>
    <w:rsid w:val="006F2F1E"/>
    <w:rsid w:val="006F44BD"/>
    <w:rsid w:val="006F59E2"/>
    <w:rsid w:val="006F7478"/>
    <w:rsid w:val="006F77D2"/>
    <w:rsid w:val="007046A7"/>
    <w:rsid w:val="0070590E"/>
    <w:rsid w:val="00705BED"/>
    <w:rsid w:val="00705F2B"/>
    <w:rsid w:val="00707B45"/>
    <w:rsid w:val="007132D0"/>
    <w:rsid w:val="00715166"/>
    <w:rsid w:val="00715276"/>
    <w:rsid w:val="0072008C"/>
    <w:rsid w:val="00720ADC"/>
    <w:rsid w:val="0072140E"/>
    <w:rsid w:val="00725FA2"/>
    <w:rsid w:val="00726618"/>
    <w:rsid w:val="007274C0"/>
    <w:rsid w:val="007332A7"/>
    <w:rsid w:val="0073461F"/>
    <w:rsid w:val="00734C69"/>
    <w:rsid w:val="00736CB7"/>
    <w:rsid w:val="0073746B"/>
    <w:rsid w:val="00740467"/>
    <w:rsid w:val="00742F66"/>
    <w:rsid w:val="007465BC"/>
    <w:rsid w:val="00747A4E"/>
    <w:rsid w:val="0075091E"/>
    <w:rsid w:val="007516CF"/>
    <w:rsid w:val="007527DA"/>
    <w:rsid w:val="00753703"/>
    <w:rsid w:val="0075680D"/>
    <w:rsid w:val="0076281D"/>
    <w:rsid w:val="0076385B"/>
    <w:rsid w:val="00763C24"/>
    <w:rsid w:val="00766510"/>
    <w:rsid w:val="007673EB"/>
    <w:rsid w:val="007712A6"/>
    <w:rsid w:val="007725E4"/>
    <w:rsid w:val="00773685"/>
    <w:rsid w:val="00773A93"/>
    <w:rsid w:val="00773B1E"/>
    <w:rsid w:val="0077623C"/>
    <w:rsid w:val="007772E3"/>
    <w:rsid w:val="00780E79"/>
    <w:rsid w:val="007816EB"/>
    <w:rsid w:val="00783D38"/>
    <w:rsid w:val="007843E1"/>
    <w:rsid w:val="007851C8"/>
    <w:rsid w:val="00785FBC"/>
    <w:rsid w:val="007878A2"/>
    <w:rsid w:val="00790147"/>
    <w:rsid w:val="007923BA"/>
    <w:rsid w:val="00793E01"/>
    <w:rsid w:val="007946CB"/>
    <w:rsid w:val="007960BE"/>
    <w:rsid w:val="007A121C"/>
    <w:rsid w:val="007A2062"/>
    <w:rsid w:val="007A2961"/>
    <w:rsid w:val="007A40B2"/>
    <w:rsid w:val="007A4F72"/>
    <w:rsid w:val="007A55F1"/>
    <w:rsid w:val="007A72FE"/>
    <w:rsid w:val="007A7845"/>
    <w:rsid w:val="007A7FA3"/>
    <w:rsid w:val="007B1819"/>
    <w:rsid w:val="007B24EC"/>
    <w:rsid w:val="007B39D3"/>
    <w:rsid w:val="007B5A48"/>
    <w:rsid w:val="007B75E6"/>
    <w:rsid w:val="007C1E72"/>
    <w:rsid w:val="007C2723"/>
    <w:rsid w:val="007C3DD0"/>
    <w:rsid w:val="007C43C3"/>
    <w:rsid w:val="007C5311"/>
    <w:rsid w:val="007C691B"/>
    <w:rsid w:val="007D106B"/>
    <w:rsid w:val="007D1163"/>
    <w:rsid w:val="007D197C"/>
    <w:rsid w:val="007D2136"/>
    <w:rsid w:val="007D3252"/>
    <w:rsid w:val="007D385B"/>
    <w:rsid w:val="007E0DD4"/>
    <w:rsid w:val="007E24C1"/>
    <w:rsid w:val="007E51BF"/>
    <w:rsid w:val="007E7A26"/>
    <w:rsid w:val="007F16B5"/>
    <w:rsid w:val="007F2CB8"/>
    <w:rsid w:val="007F4CE0"/>
    <w:rsid w:val="007F4FFE"/>
    <w:rsid w:val="007F5D9C"/>
    <w:rsid w:val="007F6D8A"/>
    <w:rsid w:val="0080028E"/>
    <w:rsid w:val="00802606"/>
    <w:rsid w:val="0080402D"/>
    <w:rsid w:val="008040E8"/>
    <w:rsid w:val="00805A90"/>
    <w:rsid w:val="00811222"/>
    <w:rsid w:val="00811463"/>
    <w:rsid w:val="00811706"/>
    <w:rsid w:val="00813A41"/>
    <w:rsid w:val="00814D02"/>
    <w:rsid w:val="0081620F"/>
    <w:rsid w:val="008163D1"/>
    <w:rsid w:val="008224CB"/>
    <w:rsid w:val="00822EAC"/>
    <w:rsid w:val="008249F2"/>
    <w:rsid w:val="008274FF"/>
    <w:rsid w:val="00827B3A"/>
    <w:rsid w:val="00836418"/>
    <w:rsid w:val="00836AED"/>
    <w:rsid w:val="00836B1D"/>
    <w:rsid w:val="00837243"/>
    <w:rsid w:val="00841E86"/>
    <w:rsid w:val="00842DCC"/>
    <w:rsid w:val="0084309C"/>
    <w:rsid w:val="008433D6"/>
    <w:rsid w:val="00843A4A"/>
    <w:rsid w:val="00843C34"/>
    <w:rsid w:val="00844DE1"/>
    <w:rsid w:val="00846772"/>
    <w:rsid w:val="00852196"/>
    <w:rsid w:val="00853996"/>
    <w:rsid w:val="00854F8F"/>
    <w:rsid w:val="0086090B"/>
    <w:rsid w:val="00863A00"/>
    <w:rsid w:val="00864B67"/>
    <w:rsid w:val="0086657D"/>
    <w:rsid w:val="008741EF"/>
    <w:rsid w:val="00875A1E"/>
    <w:rsid w:val="008773F5"/>
    <w:rsid w:val="00881E5F"/>
    <w:rsid w:val="0088255F"/>
    <w:rsid w:val="00885459"/>
    <w:rsid w:val="00885562"/>
    <w:rsid w:val="00886D55"/>
    <w:rsid w:val="008907C0"/>
    <w:rsid w:val="00893811"/>
    <w:rsid w:val="00894241"/>
    <w:rsid w:val="0089425F"/>
    <w:rsid w:val="008A1AC5"/>
    <w:rsid w:val="008A6507"/>
    <w:rsid w:val="008A77A7"/>
    <w:rsid w:val="008B0346"/>
    <w:rsid w:val="008B0651"/>
    <w:rsid w:val="008B2C51"/>
    <w:rsid w:val="008B35C6"/>
    <w:rsid w:val="008B4255"/>
    <w:rsid w:val="008B6574"/>
    <w:rsid w:val="008B6FE9"/>
    <w:rsid w:val="008C2832"/>
    <w:rsid w:val="008C2835"/>
    <w:rsid w:val="008C398D"/>
    <w:rsid w:val="008C3EB2"/>
    <w:rsid w:val="008C5315"/>
    <w:rsid w:val="008C7DF0"/>
    <w:rsid w:val="008D1E5B"/>
    <w:rsid w:val="008D4F8A"/>
    <w:rsid w:val="008D5F35"/>
    <w:rsid w:val="008D6599"/>
    <w:rsid w:val="008D7866"/>
    <w:rsid w:val="008D796F"/>
    <w:rsid w:val="008E262F"/>
    <w:rsid w:val="008E2D3E"/>
    <w:rsid w:val="008E4505"/>
    <w:rsid w:val="008E4E60"/>
    <w:rsid w:val="008E6386"/>
    <w:rsid w:val="008E6BA5"/>
    <w:rsid w:val="008F0B7B"/>
    <w:rsid w:val="008F3505"/>
    <w:rsid w:val="008F671A"/>
    <w:rsid w:val="008F7A35"/>
    <w:rsid w:val="009022C6"/>
    <w:rsid w:val="009025DD"/>
    <w:rsid w:val="00902978"/>
    <w:rsid w:val="00904CC5"/>
    <w:rsid w:val="00904FF4"/>
    <w:rsid w:val="00905970"/>
    <w:rsid w:val="0091046A"/>
    <w:rsid w:val="00921FD3"/>
    <w:rsid w:val="009220D7"/>
    <w:rsid w:val="00924741"/>
    <w:rsid w:val="00927131"/>
    <w:rsid w:val="0093059D"/>
    <w:rsid w:val="00940A26"/>
    <w:rsid w:val="00942939"/>
    <w:rsid w:val="00946C9F"/>
    <w:rsid w:val="00951F3C"/>
    <w:rsid w:val="00952DA8"/>
    <w:rsid w:val="00953272"/>
    <w:rsid w:val="009532AE"/>
    <w:rsid w:val="009567FC"/>
    <w:rsid w:val="00956B8E"/>
    <w:rsid w:val="00956E21"/>
    <w:rsid w:val="00957247"/>
    <w:rsid w:val="009572D2"/>
    <w:rsid w:val="00957643"/>
    <w:rsid w:val="009576F3"/>
    <w:rsid w:val="00957BDD"/>
    <w:rsid w:val="00957C0D"/>
    <w:rsid w:val="00960C28"/>
    <w:rsid w:val="00961EC6"/>
    <w:rsid w:val="00962715"/>
    <w:rsid w:val="00962DB3"/>
    <w:rsid w:val="00966A53"/>
    <w:rsid w:val="009705F9"/>
    <w:rsid w:val="00971766"/>
    <w:rsid w:val="00974F60"/>
    <w:rsid w:val="00975767"/>
    <w:rsid w:val="00976765"/>
    <w:rsid w:val="00983DB2"/>
    <w:rsid w:val="00985F2E"/>
    <w:rsid w:val="0098628E"/>
    <w:rsid w:val="00986B43"/>
    <w:rsid w:val="009926C0"/>
    <w:rsid w:val="00994AF2"/>
    <w:rsid w:val="009975CB"/>
    <w:rsid w:val="009977D9"/>
    <w:rsid w:val="009A21CF"/>
    <w:rsid w:val="009A31A2"/>
    <w:rsid w:val="009A46B3"/>
    <w:rsid w:val="009A49C9"/>
    <w:rsid w:val="009B0C2F"/>
    <w:rsid w:val="009B30B2"/>
    <w:rsid w:val="009B65B7"/>
    <w:rsid w:val="009B7B13"/>
    <w:rsid w:val="009C2DB2"/>
    <w:rsid w:val="009C5843"/>
    <w:rsid w:val="009C6836"/>
    <w:rsid w:val="009C74BF"/>
    <w:rsid w:val="009D062B"/>
    <w:rsid w:val="009D0CDB"/>
    <w:rsid w:val="009D11D8"/>
    <w:rsid w:val="009D1797"/>
    <w:rsid w:val="009D20C5"/>
    <w:rsid w:val="009D2BD1"/>
    <w:rsid w:val="009D5ADB"/>
    <w:rsid w:val="009D7680"/>
    <w:rsid w:val="009E218E"/>
    <w:rsid w:val="009E7376"/>
    <w:rsid w:val="009F02BA"/>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20D01"/>
    <w:rsid w:val="00A21F97"/>
    <w:rsid w:val="00A25A48"/>
    <w:rsid w:val="00A263B1"/>
    <w:rsid w:val="00A273DB"/>
    <w:rsid w:val="00A308AA"/>
    <w:rsid w:val="00A31367"/>
    <w:rsid w:val="00A3217B"/>
    <w:rsid w:val="00A33C67"/>
    <w:rsid w:val="00A33D6A"/>
    <w:rsid w:val="00A35389"/>
    <w:rsid w:val="00A42A13"/>
    <w:rsid w:val="00A43A37"/>
    <w:rsid w:val="00A47B2F"/>
    <w:rsid w:val="00A51FED"/>
    <w:rsid w:val="00A5326B"/>
    <w:rsid w:val="00A536E3"/>
    <w:rsid w:val="00A557F7"/>
    <w:rsid w:val="00A576AA"/>
    <w:rsid w:val="00A62741"/>
    <w:rsid w:val="00A64AFE"/>
    <w:rsid w:val="00A65014"/>
    <w:rsid w:val="00A70A96"/>
    <w:rsid w:val="00A70CD7"/>
    <w:rsid w:val="00A73F88"/>
    <w:rsid w:val="00A76245"/>
    <w:rsid w:val="00A83DC2"/>
    <w:rsid w:val="00A871E7"/>
    <w:rsid w:val="00A91604"/>
    <w:rsid w:val="00A9464A"/>
    <w:rsid w:val="00A958D6"/>
    <w:rsid w:val="00A96CAA"/>
    <w:rsid w:val="00A97FAC"/>
    <w:rsid w:val="00AA2599"/>
    <w:rsid w:val="00AA3188"/>
    <w:rsid w:val="00AA39B6"/>
    <w:rsid w:val="00AA528A"/>
    <w:rsid w:val="00AA591D"/>
    <w:rsid w:val="00AB0881"/>
    <w:rsid w:val="00AB27C8"/>
    <w:rsid w:val="00AB4332"/>
    <w:rsid w:val="00AB5CC7"/>
    <w:rsid w:val="00AC1636"/>
    <w:rsid w:val="00AC3EA2"/>
    <w:rsid w:val="00AC3FFC"/>
    <w:rsid w:val="00AC50FE"/>
    <w:rsid w:val="00AC534D"/>
    <w:rsid w:val="00AC5770"/>
    <w:rsid w:val="00AC5A0A"/>
    <w:rsid w:val="00AC6FE1"/>
    <w:rsid w:val="00AD053A"/>
    <w:rsid w:val="00AD3553"/>
    <w:rsid w:val="00AD4014"/>
    <w:rsid w:val="00AD5088"/>
    <w:rsid w:val="00AD5C33"/>
    <w:rsid w:val="00AE0B94"/>
    <w:rsid w:val="00AE0CCA"/>
    <w:rsid w:val="00AE148D"/>
    <w:rsid w:val="00AE26FC"/>
    <w:rsid w:val="00AE2A81"/>
    <w:rsid w:val="00AE2B85"/>
    <w:rsid w:val="00AE4CD9"/>
    <w:rsid w:val="00AE59ED"/>
    <w:rsid w:val="00AF0C30"/>
    <w:rsid w:val="00AF2FFB"/>
    <w:rsid w:val="00AF3631"/>
    <w:rsid w:val="00AF58AA"/>
    <w:rsid w:val="00B00BF4"/>
    <w:rsid w:val="00B010F3"/>
    <w:rsid w:val="00B01464"/>
    <w:rsid w:val="00B01FC7"/>
    <w:rsid w:val="00B03162"/>
    <w:rsid w:val="00B047B4"/>
    <w:rsid w:val="00B07B09"/>
    <w:rsid w:val="00B10A52"/>
    <w:rsid w:val="00B111D4"/>
    <w:rsid w:val="00B1197E"/>
    <w:rsid w:val="00B137C4"/>
    <w:rsid w:val="00B16033"/>
    <w:rsid w:val="00B17909"/>
    <w:rsid w:val="00B228A4"/>
    <w:rsid w:val="00B2367D"/>
    <w:rsid w:val="00B32F36"/>
    <w:rsid w:val="00B33F55"/>
    <w:rsid w:val="00B348D5"/>
    <w:rsid w:val="00B356D1"/>
    <w:rsid w:val="00B368D2"/>
    <w:rsid w:val="00B41FC1"/>
    <w:rsid w:val="00B429E0"/>
    <w:rsid w:val="00B4315E"/>
    <w:rsid w:val="00B4425E"/>
    <w:rsid w:val="00B45E7A"/>
    <w:rsid w:val="00B4618E"/>
    <w:rsid w:val="00B47CC7"/>
    <w:rsid w:val="00B508B5"/>
    <w:rsid w:val="00B509BA"/>
    <w:rsid w:val="00B53853"/>
    <w:rsid w:val="00B53950"/>
    <w:rsid w:val="00B54101"/>
    <w:rsid w:val="00B55314"/>
    <w:rsid w:val="00B57D0E"/>
    <w:rsid w:val="00B616B7"/>
    <w:rsid w:val="00B64B5F"/>
    <w:rsid w:val="00B66425"/>
    <w:rsid w:val="00B709DA"/>
    <w:rsid w:val="00B722B1"/>
    <w:rsid w:val="00B72601"/>
    <w:rsid w:val="00B74B83"/>
    <w:rsid w:val="00B75A1B"/>
    <w:rsid w:val="00B7669C"/>
    <w:rsid w:val="00B83D81"/>
    <w:rsid w:val="00B856C9"/>
    <w:rsid w:val="00B8636D"/>
    <w:rsid w:val="00B87178"/>
    <w:rsid w:val="00B90220"/>
    <w:rsid w:val="00B90AD5"/>
    <w:rsid w:val="00B92579"/>
    <w:rsid w:val="00B928DE"/>
    <w:rsid w:val="00B92CA8"/>
    <w:rsid w:val="00B92D0D"/>
    <w:rsid w:val="00B93E20"/>
    <w:rsid w:val="00B95746"/>
    <w:rsid w:val="00BA0DE8"/>
    <w:rsid w:val="00BA30B9"/>
    <w:rsid w:val="00BA3E21"/>
    <w:rsid w:val="00BA634E"/>
    <w:rsid w:val="00BB00A2"/>
    <w:rsid w:val="00BB0EF1"/>
    <w:rsid w:val="00BB1BF7"/>
    <w:rsid w:val="00BB1C56"/>
    <w:rsid w:val="00BB29DF"/>
    <w:rsid w:val="00BB2A06"/>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95A"/>
    <w:rsid w:val="00C07EBD"/>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374E8"/>
    <w:rsid w:val="00C419CD"/>
    <w:rsid w:val="00C4451E"/>
    <w:rsid w:val="00C44800"/>
    <w:rsid w:val="00C4500C"/>
    <w:rsid w:val="00C459A2"/>
    <w:rsid w:val="00C46401"/>
    <w:rsid w:val="00C502A1"/>
    <w:rsid w:val="00C509DC"/>
    <w:rsid w:val="00C513F5"/>
    <w:rsid w:val="00C515B8"/>
    <w:rsid w:val="00C51A2F"/>
    <w:rsid w:val="00C51A49"/>
    <w:rsid w:val="00C53C5C"/>
    <w:rsid w:val="00C54D26"/>
    <w:rsid w:val="00C55FB1"/>
    <w:rsid w:val="00C572B1"/>
    <w:rsid w:val="00C61A0E"/>
    <w:rsid w:val="00C62FCD"/>
    <w:rsid w:val="00C649CD"/>
    <w:rsid w:val="00C6594A"/>
    <w:rsid w:val="00C6785F"/>
    <w:rsid w:val="00C7154D"/>
    <w:rsid w:val="00C75429"/>
    <w:rsid w:val="00C75734"/>
    <w:rsid w:val="00C758BA"/>
    <w:rsid w:val="00C82AB0"/>
    <w:rsid w:val="00C8462E"/>
    <w:rsid w:val="00C854AC"/>
    <w:rsid w:val="00C879BF"/>
    <w:rsid w:val="00C93498"/>
    <w:rsid w:val="00C939C5"/>
    <w:rsid w:val="00C948CF"/>
    <w:rsid w:val="00CA04D2"/>
    <w:rsid w:val="00CA0DAF"/>
    <w:rsid w:val="00CA1B37"/>
    <w:rsid w:val="00CA23DA"/>
    <w:rsid w:val="00CA4083"/>
    <w:rsid w:val="00CA4838"/>
    <w:rsid w:val="00CA48B2"/>
    <w:rsid w:val="00CA69D3"/>
    <w:rsid w:val="00CA73AB"/>
    <w:rsid w:val="00CA74B5"/>
    <w:rsid w:val="00CB0225"/>
    <w:rsid w:val="00CB1A3B"/>
    <w:rsid w:val="00CB1B9C"/>
    <w:rsid w:val="00CB35A2"/>
    <w:rsid w:val="00CB4254"/>
    <w:rsid w:val="00CB7B29"/>
    <w:rsid w:val="00CC001B"/>
    <w:rsid w:val="00CC0402"/>
    <w:rsid w:val="00CC400B"/>
    <w:rsid w:val="00CC574E"/>
    <w:rsid w:val="00CC7D9C"/>
    <w:rsid w:val="00CD3499"/>
    <w:rsid w:val="00CD4754"/>
    <w:rsid w:val="00CD5761"/>
    <w:rsid w:val="00CD6103"/>
    <w:rsid w:val="00CD659A"/>
    <w:rsid w:val="00CD6F19"/>
    <w:rsid w:val="00CE00DA"/>
    <w:rsid w:val="00CE1D94"/>
    <w:rsid w:val="00CE23D3"/>
    <w:rsid w:val="00CE6F04"/>
    <w:rsid w:val="00CE7D09"/>
    <w:rsid w:val="00CF0E12"/>
    <w:rsid w:val="00CF2D18"/>
    <w:rsid w:val="00CF2F5A"/>
    <w:rsid w:val="00CF3377"/>
    <w:rsid w:val="00CF3EA3"/>
    <w:rsid w:val="00CF4886"/>
    <w:rsid w:val="00CF602F"/>
    <w:rsid w:val="00CF62F1"/>
    <w:rsid w:val="00CF7347"/>
    <w:rsid w:val="00CF7777"/>
    <w:rsid w:val="00D015E0"/>
    <w:rsid w:val="00D03B7F"/>
    <w:rsid w:val="00D04244"/>
    <w:rsid w:val="00D05AF6"/>
    <w:rsid w:val="00D05BC4"/>
    <w:rsid w:val="00D06B80"/>
    <w:rsid w:val="00D077D4"/>
    <w:rsid w:val="00D1583E"/>
    <w:rsid w:val="00D16E49"/>
    <w:rsid w:val="00D173EE"/>
    <w:rsid w:val="00D20F63"/>
    <w:rsid w:val="00D26346"/>
    <w:rsid w:val="00D27532"/>
    <w:rsid w:val="00D30627"/>
    <w:rsid w:val="00D3139F"/>
    <w:rsid w:val="00D33D3F"/>
    <w:rsid w:val="00D345B1"/>
    <w:rsid w:val="00D353F2"/>
    <w:rsid w:val="00D36669"/>
    <w:rsid w:val="00D4013B"/>
    <w:rsid w:val="00D4026B"/>
    <w:rsid w:val="00D4203B"/>
    <w:rsid w:val="00D42C69"/>
    <w:rsid w:val="00D4391B"/>
    <w:rsid w:val="00D478FA"/>
    <w:rsid w:val="00D47C87"/>
    <w:rsid w:val="00D47D2B"/>
    <w:rsid w:val="00D47D7B"/>
    <w:rsid w:val="00D507EE"/>
    <w:rsid w:val="00D51B8A"/>
    <w:rsid w:val="00D55D74"/>
    <w:rsid w:val="00D625DE"/>
    <w:rsid w:val="00D62813"/>
    <w:rsid w:val="00D63460"/>
    <w:rsid w:val="00D63866"/>
    <w:rsid w:val="00D64531"/>
    <w:rsid w:val="00D65AA1"/>
    <w:rsid w:val="00D65DBB"/>
    <w:rsid w:val="00D72E41"/>
    <w:rsid w:val="00D74B3A"/>
    <w:rsid w:val="00D75B28"/>
    <w:rsid w:val="00D76634"/>
    <w:rsid w:val="00D76B6C"/>
    <w:rsid w:val="00D847B1"/>
    <w:rsid w:val="00D85EDF"/>
    <w:rsid w:val="00D87B14"/>
    <w:rsid w:val="00D87EC4"/>
    <w:rsid w:val="00D87F7A"/>
    <w:rsid w:val="00D9066E"/>
    <w:rsid w:val="00D94463"/>
    <w:rsid w:val="00D94985"/>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0E9"/>
    <w:rsid w:val="00DE0F2C"/>
    <w:rsid w:val="00DE37DE"/>
    <w:rsid w:val="00DE446C"/>
    <w:rsid w:val="00DE5CC1"/>
    <w:rsid w:val="00DE6422"/>
    <w:rsid w:val="00DE67A1"/>
    <w:rsid w:val="00DE7606"/>
    <w:rsid w:val="00DF074A"/>
    <w:rsid w:val="00DF1083"/>
    <w:rsid w:val="00DF1F92"/>
    <w:rsid w:val="00DF2D35"/>
    <w:rsid w:val="00DF363C"/>
    <w:rsid w:val="00DF4166"/>
    <w:rsid w:val="00DF569B"/>
    <w:rsid w:val="00E00A62"/>
    <w:rsid w:val="00E00AD1"/>
    <w:rsid w:val="00E01198"/>
    <w:rsid w:val="00E017C2"/>
    <w:rsid w:val="00E01BC7"/>
    <w:rsid w:val="00E02A42"/>
    <w:rsid w:val="00E03D68"/>
    <w:rsid w:val="00E046F9"/>
    <w:rsid w:val="00E057B1"/>
    <w:rsid w:val="00E06E40"/>
    <w:rsid w:val="00E10F1A"/>
    <w:rsid w:val="00E1382A"/>
    <w:rsid w:val="00E15B6A"/>
    <w:rsid w:val="00E171AE"/>
    <w:rsid w:val="00E1761B"/>
    <w:rsid w:val="00E24D78"/>
    <w:rsid w:val="00E26E79"/>
    <w:rsid w:val="00E34D43"/>
    <w:rsid w:val="00E3553E"/>
    <w:rsid w:val="00E37B8F"/>
    <w:rsid w:val="00E37E9D"/>
    <w:rsid w:val="00E40B32"/>
    <w:rsid w:val="00E4249B"/>
    <w:rsid w:val="00E438C2"/>
    <w:rsid w:val="00E52B68"/>
    <w:rsid w:val="00E55823"/>
    <w:rsid w:val="00E56242"/>
    <w:rsid w:val="00E57D74"/>
    <w:rsid w:val="00E60461"/>
    <w:rsid w:val="00E60601"/>
    <w:rsid w:val="00E61A23"/>
    <w:rsid w:val="00E6255C"/>
    <w:rsid w:val="00E64945"/>
    <w:rsid w:val="00E711F1"/>
    <w:rsid w:val="00E729DC"/>
    <w:rsid w:val="00E73460"/>
    <w:rsid w:val="00E744DE"/>
    <w:rsid w:val="00E74632"/>
    <w:rsid w:val="00E75C0C"/>
    <w:rsid w:val="00E84DD2"/>
    <w:rsid w:val="00E8538B"/>
    <w:rsid w:val="00E86533"/>
    <w:rsid w:val="00E87F09"/>
    <w:rsid w:val="00E90A4E"/>
    <w:rsid w:val="00E91082"/>
    <w:rsid w:val="00E95936"/>
    <w:rsid w:val="00E97EB0"/>
    <w:rsid w:val="00EA016D"/>
    <w:rsid w:val="00EA08DA"/>
    <w:rsid w:val="00EA09DE"/>
    <w:rsid w:val="00EA285A"/>
    <w:rsid w:val="00EB0928"/>
    <w:rsid w:val="00EB25DA"/>
    <w:rsid w:val="00EB3309"/>
    <w:rsid w:val="00EB38D9"/>
    <w:rsid w:val="00EB5E27"/>
    <w:rsid w:val="00EC2C25"/>
    <w:rsid w:val="00EC72BA"/>
    <w:rsid w:val="00ED2497"/>
    <w:rsid w:val="00ED4E67"/>
    <w:rsid w:val="00ED63F4"/>
    <w:rsid w:val="00ED73DD"/>
    <w:rsid w:val="00ED7794"/>
    <w:rsid w:val="00EE23A3"/>
    <w:rsid w:val="00EE243A"/>
    <w:rsid w:val="00EE4952"/>
    <w:rsid w:val="00EE7E04"/>
    <w:rsid w:val="00EF1C2A"/>
    <w:rsid w:val="00EF66A8"/>
    <w:rsid w:val="00EF7C41"/>
    <w:rsid w:val="00F01D69"/>
    <w:rsid w:val="00F01F24"/>
    <w:rsid w:val="00F037E0"/>
    <w:rsid w:val="00F03D05"/>
    <w:rsid w:val="00F103B2"/>
    <w:rsid w:val="00F1608C"/>
    <w:rsid w:val="00F205E3"/>
    <w:rsid w:val="00F2157A"/>
    <w:rsid w:val="00F2161A"/>
    <w:rsid w:val="00F245B4"/>
    <w:rsid w:val="00F25ACF"/>
    <w:rsid w:val="00F25F33"/>
    <w:rsid w:val="00F26E39"/>
    <w:rsid w:val="00F27E55"/>
    <w:rsid w:val="00F31DA7"/>
    <w:rsid w:val="00F32962"/>
    <w:rsid w:val="00F3338E"/>
    <w:rsid w:val="00F33644"/>
    <w:rsid w:val="00F33FCC"/>
    <w:rsid w:val="00F35372"/>
    <w:rsid w:val="00F360D9"/>
    <w:rsid w:val="00F361C4"/>
    <w:rsid w:val="00F458C7"/>
    <w:rsid w:val="00F45D10"/>
    <w:rsid w:val="00F462F3"/>
    <w:rsid w:val="00F51921"/>
    <w:rsid w:val="00F5504A"/>
    <w:rsid w:val="00F608DA"/>
    <w:rsid w:val="00F60AE2"/>
    <w:rsid w:val="00F648E4"/>
    <w:rsid w:val="00F65479"/>
    <w:rsid w:val="00F7118D"/>
    <w:rsid w:val="00F7678D"/>
    <w:rsid w:val="00F76C9F"/>
    <w:rsid w:val="00F779EA"/>
    <w:rsid w:val="00F816F1"/>
    <w:rsid w:val="00F830A2"/>
    <w:rsid w:val="00F836DA"/>
    <w:rsid w:val="00F85005"/>
    <w:rsid w:val="00F909BD"/>
    <w:rsid w:val="00F94D7E"/>
    <w:rsid w:val="00F95F47"/>
    <w:rsid w:val="00F961C0"/>
    <w:rsid w:val="00F965BD"/>
    <w:rsid w:val="00F96A5D"/>
    <w:rsid w:val="00FA0FC5"/>
    <w:rsid w:val="00FA1029"/>
    <w:rsid w:val="00FA1145"/>
    <w:rsid w:val="00FA1921"/>
    <w:rsid w:val="00FA1C4A"/>
    <w:rsid w:val="00FA638A"/>
    <w:rsid w:val="00FA705C"/>
    <w:rsid w:val="00FB0145"/>
    <w:rsid w:val="00FB0EA4"/>
    <w:rsid w:val="00FB1BDB"/>
    <w:rsid w:val="00FB73B9"/>
    <w:rsid w:val="00FC0CD2"/>
    <w:rsid w:val="00FC1C18"/>
    <w:rsid w:val="00FC1DFF"/>
    <w:rsid w:val="00FC6BC9"/>
    <w:rsid w:val="00FC743A"/>
    <w:rsid w:val="00FC792C"/>
    <w:rsid w:val="00FC7D66"/>
    <w:rsid w:val="00FD213B"/>
    <w:rsid w:val="00FD2178"/>
    <w:rsid w:val="00FD311C"/>
    <w:rsid w:val="00FD3B1E"/>
    <w:rsid w:val="00FD50E6"/>
    <w:rsid w:val="00FD548B"/>
    <w:rsid w:val="00FD5AFE"/>
    <w:rsid w:val="00FD68D3"/>
    <w:rsid w:val="00FD73F9"/>
    <w:rsid w:val="00FE10D9"/>
    <w:rsid w:val="00FE1D04"/>
    <w:rsid w:val="00FE234C"/>
    <w:rsid w:val="00FE3150"/>
    <w:rsid w:val="00FE3CF6"/>
    <w:rsid w:val="00FE6809"/>
    <w:rsid w:val="00FF199C"/>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A03"/>
  <w15:chartTrackingRefBased/>
  <w15:docId w15:val="{6D7BD200-592B-412B-9101-84E9EB50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qFormat="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AA2599"/>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441AD7"/>
    <w:pPr>
      <w:numPr>
        <w:numId w:val="28"/>
      </w:numPr>
      <w:pBdr>
        <w:top w:val="single" w:sz="24" w:space="8" w:color="630019" w:themeColor="accent1"/>
      </w:pBdr>
      <w:spacing w:before="240" w:after="120" w:line="240" w:lineRule="auto"/>
      <w:outlineLvl w:val="0"/>
    </w:pPr>
    <w:rPr>
      <w:color w:val="630019" w:themeColor="accent1"/>
      <w:sz w:val="36"/>
    </w:rPr>
  </w:style>
  <w:style w:type="paragraph" w:styleId="Heading2">
    <w:name w:val="heading 2"/>
    <w:next w:val="BodyText"/>
    <w:link w:val="Heading2Char"/>
    <w:uiPriority w:val="9"/>
    <w:qFormat/>
    <w:rsid w:val="00441AD7"/>
    <w:pPr>
      <w:numPr>
        <w:ilvl w:val="1"/>
        <w:numId w:val="28"/>
      </w:numPr>
      <w:pBdr>
        <w:top w:val="single" w:sz="4" w:space="8" w:color="630019" w:themeColor="accent1"/>
      </w:pBdr>
      <w:spacing w:before="240" w:after="120" w:line="240" w:lineRule="auto"/>
      <w:outlineLvl w:val="1"/>
    </w:pPr>
    <w:rPr>
      <w:color w:val="630019" w:themeColor="accent1"/>
      <w:sz w:val="28"/>
    </w:rPr>
  </w:style>
  <w:style w:type="paragraph" w:styleId="Heading3">
    <w:name w:val="heading 3"/>
    <w:next w:val="BodyText"/>
    <w:link w:val="Heading3Char"/>
    <w:uiPriority w:val="9"/>
    <w:qFormat/>
    <w:rsid w:val="00441AD7"/>
    <w:pPr>
      <w:keepNext/>
      <w:keepLines/>
      <w:numPr>
        <w:ilvl w:val="2"/>
        <w:numId w:val="28"/>
      </w:numPr>
      <w:suppressAutoHyphens/>
      <w:spacing w:before="240" w:after="120" w:line="240" w:lineRule="auto"/>
      <w:outlineLvl w:val="2"/>
    </w:pPr>
    <w:rPr>
      <w:rFonts w:asciiTheme="majorHAnsi" w:hAnsiTheme="majorHAnsi"/>
      <w:color w:val="630019" w:themeColor="accent1"/>
      <w:sz w:val="24"/>
    </w:rPr>
  </w:style>
  <w:style w:type="paragraph" w:styleId="Heading4">
    <w:name w:val="heading 4"/>
    <w:next w:val="BodyText"/>
    <w:link w:val="Heading4Char"/>
    <w:uiPriority w:val="9"/>
    <w:qFormat/>
    <w:rsid w:val="00173240"/>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630019" w:themeColor="accent1"/>
    </w:rPr>
  </w:style>
  <w:style w:type="paragraph" w:styleId="Heading5">
    <w:name w:val="heading 5"/>
    <w:next w:val="BodyText"/>
    <w:link w:val="Heading5Char"/>
    <w:uiPriority w:val="9"/>
    <w:semiHidden/>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630019"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AEB" w:themeColor="accent6" w:themeTint="66"/>
        <w:left w:val="single" w:sz="4" w:space="0" w:color="FFFAEB" w:themeColor="accent6" w:themeTint="66"/>
        <w:bottom w:val="single" w:sz="4" w:space="0" w:color="FFFAEB" w:themeColor="accent6" w:themeTint="66"/>
        <w:right w:val="single" w:sz="4" w:space="0" w:color="FFFAEB" w:themeColor="accent6" w:themeTint="66"/>
        <w:insideH w:val="single" w:sz="4" w:space="0" w:color="FFFAEB" w:themeColor="accent6" w:themeTint="66"/>
        <w:insideV w:val="single" w:sz="4" w:space="0" w:color="FFFAEB" w:themeColor="accent6" w:themeTint="66"/>
      </w:tblBorders>
    </w:tblPr>
    <w:tblStylePr w:type="firstRow">
      <w:rPr>
        <w:b/>
        <w:bCs/>
      </w:rPr>
      <w:tblPr/>
      <w:tcPr>
        <w:tcBorders>
          <w:bottom w:val="single" w:sz="12" w:space="0" w:color="FFF8E2" w:themeColor="accent6" w:themeTint="99"/>
        </w:tcBorders>
      </w:tcPr>
    </w:tblStylePr>
    <w:tblStylePr w:type="lastRow">
      <w:rPr>
        <w:b/>
        <w:bCs/>
      </w:rPr>
      <w:tblPr/>
      <w:tcPr>
        <w:tcBorders>
          <w:top w:val="double" w:sz="2" w:space="0" w:color="FFF8E2" w:themeColor="accent6" w:themeTint="99"/>
        </w:tcBorders>
      </w:tcPr>
    </w:tblStylePr>
    <w:tblStylePr w:type="firstCol">
      <w:rPr>
        <w:b/>
        <w:bCs/>
      </w:rPr>
    </w:tblStylePr>
    <w:tblStylePr w:type="lastCol">
      <w:rPr>
        <w:b/>
        <w:bCs/>
      </w:rPr>
    </w:tblStylePr>
  </w:style>
  <w:style w:type="paragraph" w:styleId="TOC1">
    <w:name w:val="toc 1"/>
    <w:next w:val="BodyText"/>
    <w:uiPriority w:val="39"/>
    <w:semiHidden/>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630019" w:themeColor="accent1"/>
      <w:szCs w:val="20"/>
    </w:rPr>
  </w:style>
  <w:style w:type="paragraph" w:styleId="TOC2">
    <w:name w:val="toc 2"/>
    <w:next w:val="BodyText"/>
    <w:uiPriority w:val="39"/>
    <w:semiHidden/>
    <w:rsid w:val="003002D8"/>
    <w:pPr>
      <w:tabs>
        <w:tab w:val="left" w:pos="1134"/>
        <w:tab w:val="right" w:leader="dot" w:pos="10206"/>
      </w:tabs>
      <w:suppressAutoHyphens/>
      <w:spacing w:before="120" w:after="120" w:line="240" w:lineRule="auto"/>
      <w:ind w:left="1134" w:hanging="567"/>
    </w:pPr>
    <w:rPr>
      <w:rFonts w:eastAsia="Calibri" w:cs="Calibri"/>
      <w:color w:val="630019"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630019"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441AD7"/>
    <w:rPr>
      <w:color w:val="630019" w:themeColor="accent1"/>
      <w:sz w:val="36"/>
    </w:rPr>
  </w:style>
  <w:style w:type="paragraph" w:styleId="TOCHeading">
    <w:name w:val="TOC Heading"/>
    <w:next w:val="BodyText"/>
    <w:uiPriority w:val="39"/>
    <w:semiHidden/>
    <w:rsid w:val="00446E19"/>
    <w:pPr>
      <w:pageBreakBefore/>
      <w:suppressAutoHyphens/>
      <w:spacing w:after="360" w:line="240" w:lineRule="auto"/>
    </w:pPr>
    <w:rPr>
      <w:color w:val="630019"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aliases w:val="(NECG) Footnote Text,ALTS FOOTNOTE,Footnote"/>
    <w:link w:val="FootnoteTextChar"/>
    <w:uiPriority w:val="99"/>
    <w:qFormat/>
    <w:rsid w:val="00344B84"/>
    <w:pPr>
      <w:spacing w:before="60" w:after="60" w:line="240" w:lineRule="auto"/>
    </w:pPr>
    <w:rPr>
      <w:color w:val="22272B" w:themeColor="text1"/>
      <w:sz w:val="20"/>
      <w:szCs w:val="20"/>
    </w:rPr>
  </w:style>
  <w:style w:type="character" w:customStyle="1" w:styleId="FootnoteTextChar">
    <w:name w:val="Footnote Text Char"/>
    <w:aliases w:val="(NECG) Footnote Text Char,ALTS FOOTNOTE Char,Footnote Char"/>
    <w:basedOn w:val="DefaultParagraphFont"/>
    <w:link w:val="FootnoteText"/>
    <w:uiPriority w:val="99"/>
    <w:rsid w:val="00344B84"/>
    <w:rPr>
      <w:color w:val="22272B" w:themeColor="text1"/>
      <w:sz w:val="20"/>
      <w:szCs w:val="20"/>
    </w:rPr>
  </w:style>
  <w:style w:type="character" w:styleId="FootnoteReference">
    <w:name w:val="footnote reference"/>
    <w:aliases w:val="(NECG) Footnote Reference,Text Footnote Reference,fr"/>
    <w:basedOn w:val="DefaultParagraphFont"/>
    <w:uiPriority w:val="99"/>
    <w:qFormat/>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441AD7"/>
    <w:rPr>
      <w:color w:val="630019" w:themeColor="accent1"/>
      <w:sz w:val="28"/>
    </w:rPr>
  </w:style>
  <w:style w:type="character" w:customStyle="1" w:styleId="Heading3Char">
    <w:name w:val="Heading 3 Char"/>
    <w:basedOn w:val="DefaultParagraphFont"/>
    <w:link w:val="Heading3"/>
    <w:uiPriority w:val="9"/>
    <w:rsid w:val="00441AD7"/>
    <w:rPr>
      <w:rFonts w:asciiTheme="majorHAnsi" w:hAnsiTheme="majorHAnsi"/>
      <w:color w:val="630019" w:themeColor="accent1"/>
      <w:sz w:val="24"/>
    </w:rPr>
  </w:style>
  <w:style w:type="character" w:customStyle="1" w:styleId="Heading4Char">
    <w:name w:val="Heading 4 Char"/>
    <w:basedOn w:val="DefaultParagraphFont"/>
    <w:link w:val="Heading4"/>
    <w:uiPriority w:val="9"/>
    <w:rsid w:val="00173240"/>
    <w:rPr>
      <w:rFonts w:asciiTheme="majorHAnsi" w:eastAsiaTheme="majorEastAsia" w:hAnsiTheme="majorHAnsi" w:cstheme="majorBidi"/>
      <w:iCs/>
      <w:color w:val="630019" w:themeColor="accent1"/>
    </w:rPr>
  </w:style>
  <w:style w:type="character" w:customStyle="1" w:styleId="Heading5Char">
    <w:name w:val="Heading 5 Char"/>
    <w:basedOn w:val="DefaultParagraphFont"/>
    <w:link w:val="Heading5"/>
    <w:uiPriority w:val="9"/>
    <w:semiHidden/>
    <w:rsid w:val="00173240"/>
    <w:rPr>
      <w:rFonts w:asciiTheme="majorHAnsi" w:eastAsiaTheme="majorEastAsia" w:hAnsiTheme="majorHAnsi" w:cstheme="majorBidi"/>
      <w:color w:val="630019"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630019" w:themeColor="accent1"/>
      <w:sz w:val="28"/>
    </w:rPr>
  </w:style>
  <w:style w:type="paragraph" w:styleId="Caption">
    <w:name w:val="caption"/>
    <w:next w:val="BodyText"/>
    <w:uiPriority w:val="35"/>
    <w:qFormat/>
    <w:rsid w:val="00B509BA"/>
    <w:pPr>
      <w:suppressAutoHyphens/>
      <w:spacing w:before="120" w:after="120" w:line="240" w:lineRule="auto"/>
    </w:pPr>
    <w:rPr>
      <w:iCs/>
      <w:color w:val="630019"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F037E0"/>
    <w:pPr>
      <w:pBdr>
        <w:left w:val="single" w:sz="4" w:space="8" w:color="D7153A" w:themeColor="accent2"/>
      </w:pBdr>
      <w:spacing w:before="120" w:after="120" w:line="240" w:lineRule="auto"/>
      <w:ind w:left="227" w:right="57"/>
    </w:pPr>
    <w:rPr>
      <w:color w:val="630019"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BodyText"/>
    <w:link w:val="TitleChar"/>
    <w:uiPriority w:val="1"/>
    <w:qFormat/>
    <w:rsid w:val="006E4DEE"/>
    <w:pPr>
      <w:spacing w:after="0" w:line="240" w:lineRule="auto"/>
    </w:pPr>
    <w:rPr>
      <w:rFonts w:eastAsiaTheme="majorEastAsia" w:cstheme="majorBidi"/>
      <w:color w:val="22272B" w:themeColor="text1"/>
      <w:kern w:val="28"/>
      <w:position w:val="4"/>
      <w:sz w:val="36"/>
      <w:szCs w:val="56"/>
      <w:lang w:eastAsia="en-US"/>
    </w:rPr>
  </w:style>
  <w:style w:type="character" w:customStyle="1" w:styleId="TitleChar">
    <w:name w:val="Title Char"/>
    <w:basedOn w:val="DefaultParagraphFont"/>
    <w:link w:val="Title"/>
    <w:uiPriority w:val="1"/>
    <w:rsid w:val="006E4DEE"/>
    <w:rPr>
      <w:rFonts w:eastAsiaTheme="majorEastAsia" w:cstheme="majorBidi"/>
      <w:color w:val="22272B" w:themeColor="text1"/>
      <w:kern w:val="28"/>
      <w:position w:val="4"/>
      <w:sz w:val="36"/>
      <w:szCs w:val="56"/>
      <w:lang w:eastAsia="en-US"/>
    </w:rPr>
  </w:style>
  <w:style w:type="paragraph" w:styleId="Subtitle">
    <w:name w:val="Subtitle"/>
    <w:next w:val="BodyText"/>
    <w:link w:val="SubtitleChar"/>
    <w:uiPriority w:val="2"/>
    <w:semiHidden/>
    <w:rsid w:val="00A70CD7"/>
    <w:pPr>
      <w:numPr>
        <w:ilvl w:val="1"/>
      </w:numPr>
      <w:pBdr>
        <w:top w:val="single" w:sz="4" w:space="4" w:color="FFFFFF" w:themeColor="background1"/>
      </w:pBdr>
      <w:suppressAutoHyphens/>
      <w:spacing w:after="0" w:line="240" w:lineRule="auto"/>
    </w:pPr>
    <w:rPr>
      <w:color w:val="22272B" w:themeColor="text1"/>
      <w:sz w:val="48"/>
      <w:lang w:eastAsia="en-US"/>
    </w:rPr>
  </w:style>
  <w:style w:type="character" w:customStyle="1" w:styleId="SubtitleChar">
    <w:name w:val="Subtitle Char"/>
    <w:basedOn w:val="DefaultParagraphFont"/>
    <w:link w:val="Subtitle"/>
    <w:uiPriority w:val="2"/>
    <w:semiHidden/>
    <w:rsid w:val="005A0798"/>
    <w:rPr>
      <w:color w:val="22272B" w:themeColor="text1"/>
      <w:sz w:val="48"/>
      <w:lang w:eastAsia="en-US"/>
    </w:rPr>
  </w:style>
  <w:style w:type="paragraph" w:styleId="EndnoteText">
    <w:name w:val="endnote text"/>
    <w:basedOn w:val="Normal"/>
    <w:link w:val="EndnoteTextChar"/>
    <w:uiPriority w:val="99"/>
    <w:semiHidden/>
    <w:rsid w:val="008F0B7B"/>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630019"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qFormat/>
    <w:rsid w:val="000F36A1"/>
    <w:pPr>
      <w:spacing w:before="120" w:after="600" w:line="240" w:lineRule="auto"/>
    </w:pPr>
    <w:rPr>
      <w:color w:val="22272B" w:themeColor="text1"/>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shd w:val="clear" w:color="auto" w:fill="FFB8C1" w:themeFill="accent3"/>
      </w:tcPr>
    </w:tblStylePr>
    <w:tblStylePr w:type="lastRow">
      <w:rPr>
        <w:b w:val="0"/>
        <w:bCs/>
      </w:rPr>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shd w:val="clear" w:color="auto" w:fill="FFFFFF" w:themeFill="background1"/>
      </w:tcPr>
    </w:tblStylePr>
    <w:tblStylePr w:type="firstCol">
      <w:rPr>
        <w:b w:val="0"/>
        <w:bCs/>
      </w:rPr>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shd w:val="clear" w:color="auto" w:fill="FFFFFF" w:themeFill="background1"/>
      </w:tcPr>
    </w:tblStylePr>
    <w:tblStylePr w:type="lastCol">
      <w:rPr>
        <w:b w:val="0"/>
        <w:bCs/>
      </w:rPr>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shd w:val="clear" w:color="auto" w:fill="FFFFFF" w:themeFill="background1"/>
      </w:tcPr>
    </w:tblStylePr>
    <w:tblStylePr w:type="band1Vert">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tcPr>
    </w:tblStylePr>
    <w:tblStylePr w:type="band2Vert">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tcPr>
    </w:tblStylePr>
    <w:tblStylePr w:type="band1Horz">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tcPr>
    </w:tblStylePr>
    <w:tblStylePr w:type="band2Horz">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tcPr>
    </w:tblStylePr>
    <w:tblStylePr w:type="neCell">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tcPr>
    </w:tblStylePr>
    <w:tblStylePr w:type="nwCell">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tcPr>
    </w:tblStylePr>
    <w:tblStylePr w:type="seCell">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tcPr>
    </w:tblStylePr>
    <w:tblStylePr w:type="swCell">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blBorders>
    </w:tblPr>
    <w:tcPr>
      <w:shd w:val="clear" w:color="auto" w:fill="FFFFFF" w:themeFill="background1"/>
    </w:tcPr>
    <w:tblStylePr w:type="firstRow">
      <w:rPr>
        <w:b/>
        <w:bCs/>
        <w:color w:val="FFFFFF" w:themeColor="background1"/>
      </w:rPr>
      <w:tblPr/>
      <w:trPr>
        <w:tblHeader/>
      </w:tr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shd w:val="clear" w:color="auto" w:fill="FFE6EA" w:themeFill="accent4"/>
      </w:tcPr>
    </w:tblStylePr>
    <w:tblStylePr w:type="lastRow">
      <w:rPr>
        <w:b w:val="0"/>
        <w:bCs/>
      </w:rPr>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shd w:val="clear" w:color="auto" w:fill="FFFFFF" w:themeFill="background1"/>
      </w:tcPr>
    </w:tblStylePr>
    <w:tblStylePr w:type="firstCol">
      <w:rPr>
        <w:b w:val="0"/>
        <w:bCs/>
      </w:rPr>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shd w:val="clear" w:color="auto" w:fill="FFFFFF" w:themeFill="background1"/>
      </w:tcPr>
    </w:tblStylePr>
    <w:tblStylePr w:type="lastCol">
      <w:rPr>
        <w:b w:val="0"/>
        <w:bCs/>
      </w:rPr>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shd w:val="clear" w:color="auto" w:fill="FFFFFF" w:themeFill="background1"/>
      </w:tcPr>
    </w:tblStylePr>
    <w:tblStylePr w:type="band1Vert">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tcPr>
    </w:tblStylePr>
    <w:tblStylePr w:type="band2Vert">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tcPr>
    </w:tblStylePr>
    <w:tblStylePr w:type="band1Horz">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tcPr>
    </w:tblStylePr>
    <w:tblStylePr w:type="band2Horz">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tcPr>
    </w:tblStylePr>
    <w:tblStylePr w:type="neCell">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tcPr>
    </w:tblStylePr>
    <w:tblStylePr w:type="nwCell">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tcPr>
    </w:tblStylePr>
    <w:tblStylePr w:type="seCell">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tcPr>
    </w:tblStylePr>
    <w:tblStylePr w:type="swCell">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FAAF05" w:themeColor="accent5"/>
        <w:left w:val="single" w:sz="4" w:space="0" w:color="FAAF05" w:themeColor="accent5"/>
        <w:bottom w:val="single" w:sz="4" w:space="0" w:color="FAAF05" w:themeColor="accent5"/>
        <w:right w:val="single" w:sz="4" w:space="0" w:color="FAAF05" w:themeColor="accent5"/>
        <w:insideH w:val="single" w:sz="4" w:space="0" w:color="FAAF05" w:themeColor="accent5"/>
        <w:insideV w:val="single" w:sz="4" w:space="0" w:color="FAAF05" w:themeColor="accent5"/>
      </w:tblBorders>
    </w:tblPr>
    <w:tcPr>
      <w:shd w:val="clear" w:color="auto" w:fill="FFFFFF" w:themeFill="background1"/>
    </w:tcPr>
    <w:tblStylePr w:type="firstRow">
      <w:rPr>
        <w:b/>
        <w:bCs/>
        <w:color w:val="FFFFFF" w:themeColor="background1"/>
      </w:rPr>
      <w:tblPr/>
      <w:trPr>
        <w:tblHeader/>
      </w:trPr>
      <w:tcPr>
        <w:tcBorders>
          <w:top w:val="single" w:sz="4" w:space="0" w:color="FAAF05" w:themeColor="accent5"/>
          <w:left w:val="single" w:sz="4" w:space="0" w:color="FAAF05" w:themeColor="accent5"/>
          <w:bottom w:val="single" w:sz="4" w:space="0" w:color="FAAF05" w:themeColor="accent5"/>
          <w:right w:val="single" w:sz="4" w:space="0" w:color="FAAF05" w:themeColor="accent5"/>
          <w:insideH w:val="single" w:sz="4" w:space="0" w:color="FAAF05" w:themeColor="accent5"/>
          <w:insideV w:val="single" w:sz="4" w:space="0" w:color="FAAF05" w:themeColor="accent5"/>
        </w:tcBorders>
        <w:shd w:val="clear" w:color="auto" w:fill="F2F2F2" w:themeFill="background1" w:themeFillShade="F2"/>
      </w:tcPr>
    </w:tblStylePr>
    <w:tblStylePr w:type="lastRow">
      <w:rPr>
        <w:b w:val="0"/>
        <w:bCs/>
      </w:rPr>
      <w:tblPr/>
      <w:tcPr>
        <w:tcBorders>
          <w:top w:val="double" w:sz="4" w:space="0" w:color="FAAF05" w:themeColor="accent5"/>
        </w:tcBorders>
        <w:shd w:val="clear" w:color="auto" w:fill="FFFFFF" w:themeFill="background1"/>
      </w:tcPr>
    </w:tblStylePr>
    <w:tblStylePr w:type="firstCol">
      <w:rPr>
        <w:b w:val="0"/>
        <w:bCs/>
      </w:rPr>
      <w:tblPr/>
      <w:tcPr>
        <w:tcBorders>
          <w:top w:val="single" w:sz="4" w:space="0" w:color="FAAF05" w:themeColor="accent5"/>
          <w:left w:val="single" w:sz="4" w:space="0" w:color="FAAF05" w:themeColor="accent5"/>
          <w:bottom w:val="single" w:sz="4" w:space="0" w:color="FAAF05" w:themeColor="accent5"/>
          <w:right w:val="single" w:sz="4" w:space="0" w:color="FAAF05" w:themeColor="accent5"/>
          <w:insideH w:val="single" w:sz="4" w:space="0" w:color="FAAF05" w:themeColor="accent5"/>
          <w:insideV w:val="single" w:sz="4" w:space="0" w:color="FAAF05"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AAF05" w:themeColor="accent5"/>
          <w:right w:val="single" w:sz="4" w:space="0" w:color="FAAF05" w:themeColor="accent5"/>
        </w:tcBorders>
      </w:tcPr>
    </w:tblStylePr>
    <w:tblStylePr w:type="band1Horz">
      <w:tblPr/>
      <w:tcPr>
        <w:tcBorders>
          <w:top w:val="single" w:sz="4" w:space="0" w:color="FAAF05" w:themeColor="accent5"/>
          <w:bottom w:val="single" w:sz="4" w:space="0" w:color="FAAF05" w:themeColor="accent5"/>
          <w:insideH w:val="nil"/>
        </w:tcBorders>
      </w:tcPr>
    </w:tblStylePr>
    <w:tblStylePr w:type="neCell">
      <w:tblPr/>
      <w:tcPr>
        <w:tcBorders>
          <w:left w:val="nil"/>
          <w:bottom w:val="nil"/>
        </w:tcBorders>
      </w:tcPr>
    </w:tblStylePr>
    <w:tblStylePr w:type="nwCell">
      <w:tblPr/>
      <w:tcPr>
        <w:tcBorders>
          <w:top w:val="single" w:sz="4" w:space="0" w:color="FAAF05" w:themeColor="accent5"/>
          <w:left w:val="single" w:sz="4" w:space="0" w:color="FAAF05" w:themeColor="accent5"/>
          <w:bottom w:val="single" w:sz="4" w:space="0" w:color="FAAF05" w:themeColor="accent5"/>
          <w:right w:val="single" w:sz="4" w:space="0" w:color="FAAF05" w:themeColor="accent5"/>
          <w:insideH w:val="single" w:sz="4" w:space="0" w:color="FAAF05" w:themeColor="accent5"/>
          <w:insideV w:val="single" w:sz="4" w:space="0" w:color="FAAF05" w:themeColor="accent5"/>
        </w:tcBorders>
      </w:tcPr>
    </w:tblStylePr>
    <w:tblStylePr w:type="seCell">
      <w:tblPr/>
      <w:tcPr>
        <w:tcBorders>
          <w:top w:val="double" w:sz="4" w:space="0" w:color="FAAF05" w:themeColor="accent5"/>
          <w:left w:val="nil"/>
        </w:tcBorders>
      </w:tcPr>
    </w:tblStylePr>
    <w:tblStylePr w:type="swCell">
      <w:tblPr/>
      <w:tcPr>
        <w:tcBorders>
          <w:top w:val="double" w:sz="4" w:space="0" w:color="FAAF05"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blBorders>
    </w:tblPr>
    <w:tcPr>
      <w:shd w:val="clear" w:color="auto" w:fill="FFFFFF" w:themeFill="background1"/>
    </w:tcPr>
    <w:tblStylePr w:type="firstRow">
      <w:rPr>
        <w:b/>
        <w:bCs/>
        <w:color w:val="FFFFFF" w:themeColor="background1"/>
      </w:rPr>
      <w:tblPr/>
      <w:trPr>
        <w:tblHeader/>
      </w:trPr>
      <w:tcPr>
        <w:shd w:val="clear" w:color="auto" w:fill="FFF4CF" w:themeFill="accent6"/>
      </w:tcPr>
    </w:tblStylePr>
    <w:tblStylePr w:type="lastRow">
      <w:rPr>
        <w:b w:val="0"/>
        <w:bCs/>
      </w:rPr>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shd w:val="clear" w:color="auto" w:fill="FFFFFF" w:themeFill="background1"/>
      </w:tcPr>
    </w:tblStylePr>
    <w:tblStylePr w:type="firstCol">
      <w:rPr>
        <w:b w:val="0"/>
        <w:bCs/>
      </w:rPr>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shd w:val="clear" w:color="auto" w:fill="FFFFFF" w:themeFill="background1"/>
      </w:tcPr>
    </w:tblStylePr>
    <w:tblStylePr w:type="lastCol">
      <w:rPr>
        <w:b w:val="0"/>
        <w:bCs/>
      </w:rPr>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shd w:val="clear" w:color="auto" w:fill="FFFFFF" w:themeFill="background1"/>
      </w:tcPr>
    </w:tblStylePr>
    <w:tblStylePr w:type="band1Vert">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tcPr>
    </w:tblStylePr>
    <w:tblStylePr w:type="band2Vert">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tcPr>
    </w:tblStylePr>
    <w:tblStylePr w:type="band1Horz">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tcPr>
    </w:tblStylePr>
    <w:tblStylePr w:type="band2Horz">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tcPr>
    </w:tblStylePr>
    <w:tblStylePr w:type="neCell">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tcPr>
    </w:tblStylePr>
    <w:tblStylePr w:type="nwCell">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tcPr>
    </w:tblStylePr>
    <w:tblStylePr w:type="seCell">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tcPr>
    </w:tblStylePr>
    <w:tblStylePr w:type="swCell">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FFE6EA" w:themeColor="accent4"/>
        <w:left w:val="single" w:sz="24" w:space="0" w:color="FFE6EA" w:themeColor="accent4"/>
        <w:bottom w:val="single" w:sz="24" w:space="0" w:color="FFE6EA" w:themeColor="accent4"/>
        <w:right w:val="single" w:sz="24" w:space="0" w:color="FFE6EA" w:themeColor="accent4"/>
      </w:tblBorders>
    </w:tblPr>
    <w:tcPr>
      <w:shd w:val="clear" w:color="auto" w:fill="FFE6E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scriptororName">
    <w:name w:val="Descriptor or Name"/>
    <w:next w:val="BodyText"/>
    <w:uiPriority w:val="1"/>
    <w:qFormat/>
    <w:rsid w:val="00974F60"/>
    <w:pPr>
      <w:tabs>
        <w:tab w:val="right" w:pos="10206"/>
      </w:tabs>
      <w:suppressAutoHyphens/>
      <w:spacing w:after="840" w:line="240" w:lineRule="auto"/>
      <w:ind w:right="1701"/>
      <w:contextualSpacing/>
    </w:pPr>
    <w:rPr>
      <w:rFonts w:asciiTheme="majorHAnsi" w:hAnsiTheme="majorHAnsi"/>
      <w:color w:val="630019" w:themeColor="accent1"/>
      <w:sz w:val="28"/>
    </w:rPr>
  </w:style>
  <w:style w:type="character" w:customStyle="1" w:styleId="DateChar">
    <w:name w:val="Date Char"/>
    <w:basedOn w:val="DefaultParagraphFont"/>
    <w:link w:val="Date"/>
    <w:uiPriority w:val="3"/>
    <w:rsid w:val="000F36A1"/>
    <w:rPr>
      <w:color w:val="22272B" w:themeColor="text1"/>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630019" w:themeColor="accent1"/>
        <w:left w:val="single" w:sz="4" w:space="0" w:color="630019" w:themeColor="accent1"/>
        <w:bottom w:val="single" w:sz="4" w:space="0" w:color="630019" w:themeColor="accent1"/>
        <w:right w:val="single" w:sz="4" w:space="0" w:color="630019" w:themeColor="accent1"/>
      </w:tblBorders>
    </w:tblPr>
    <w:tblStylePr w:type="firstRow">
      <w:rPr>
        <w:b/>
        <w:bCs/>
        <w:color w:val="FFFFFF" w:themeColor="background1"/>
      </w:rPr>
      <w:tblPr/>
      <w:tcPr>
        <w:shd w:val="clear" w:color="auto" w:fill="630019" w:themeFill="accent1"/>
      </w:tcPr>
    </w:tblStylePr>
    <w:tblStylePr w:type="lastRow">
      <w:rPr>
        <w:b/>
        <w:bCs/>
      </w:rPr>
      <w:tblPr/>
      <w:tcPr>
        <w:tcBorders>
          <w:top w:val="double" w:sz="4" w:space="0" w:color="6300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0019" w:themeColor="accent1"/>
          <w:right w:val="single" w:sz="4" w:space="0" w:color="630019" w:themeColor="accent1"/>
        </w:tcBorders>
      </w:tcPr>
    </w:tblStylePr>
    <w:tblStylePr w:type="band1Horz">
      <w:tblPr/>
      <w:tcPr>
        <w:tcBorders>
          <w:top w:val="single" w:sz="4" w:space="0" w:color="630019" w:themeColor="accent1"/>
          <w:bottom w:val="single" w:sz="4" w:space="0" w:color="6300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0019" w:themeColor="accent1"/>
          <w:left w:val="nil"/>
        </w:tcBorders>
      </w:tcPr>
    </w:tblStylePr>
    <w:tblStylePr w:type="swCell">
      <w:tblPr/>
      <w:tcPr>
        <w:tcBorders>
          <w:top w:val="double" w:sz="4" w:space="0" w:color="630019" w:themeColor="accent1"/>
          <w:right w:val="nil"/>
        </w:tcBorders>
      </w:tcPr>
    </w:tblStylePr>
  </w:style>
  <w:style w:type="paragraph" w:customStyle="1" w:styleId="DocumentType">
    <w:name w:val="Document Type"/>
    <w:next w:val="Heading1"/>
    <w:uiPriority w:val="1"/>
    <w:qFormat/>
    <w:rsid w:val="002F3AF2"/>
    <w:pPr>
      <w:suppressAutoHyphens/>
      <w:spacing w:after="0" w:line="240" w:lineRule="auto"/>
      <w:contextualSpacing/>
    </w:pPr>
    <w:rPr>
      <w:rFonts w:asciiTheme="majorHAnsi" w:hAnsiTheme="majorHAnsi"/>
      <w:color w:val="22272B" w:themeColor="text1"/>
      <w:sz w:val="36"/>
    </w:rPr>
  </w:style>
  <w:style w:type="character" w:customStyle="1" w:styleId="QuoteChar">
    <w:name w:val="Quote Char"/>
    <w:aliases w:val="Pull out quote Char"/>
    <w:basedOn w:val="DefaultParagraphFont"/>
    <w:link w:val="Quote"/>
    <w:uiPriority w:val="29"/>
    <w:rsid w:val="00F037E0"/>
    <w:rPr>
      <w:color w:val="630019" w:themeColor="accent1"/>
      <w:sz w:val="28"/>
    </w:rPr>
  </w:style>
  <w:style w:type="table" w:styleId="ListTable3-Accent2">
    <w:name w:val="List Table 3 Accent 2"/>
    <w:basedOn w:val="TableNormal"/>
    <w:uiPriority w:val="48"/>
    <w:rsid w:val="008E6BA5"/>
    <w:pPr>
      <w:spacing w:after="0" w:line="240" w:lineRule="auto"/>
    </w:pPr>
    <w:tblPr>
      <w:tblStyleRowBandSize w:val="1"/>
      <w:tblStyleColBandSize w:val="1"/>
      <w:tbl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blBorders>
    </w:tblPr>
    <w:tblStylePr w:type="firstRow">
      <w:rPr>
        <w:b/>
        <w:bCs/>
        <w:color w:val="FFFFFF" w:themeColor="background1"/>
      </w:rPr>
      <w:tblPr/>
      <w:trPr>
        <w:tblHeader/>
      </w:tr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l2br w:val="nil"/>
          <w:tr2bl w:val="nil"/>
        </w:tcBorders>
        <w:shd w:val="clear" w:color="auto" w:fill="D7153A" w:themeFill="accent2"/>
      </w:tcPr>
    </w:tblStylePr>
    <w:tblStylePr w:type="lastRow">
      <w:rPr>
        <w:b w:val="0"/>
        <w:bCs/>
      </w:rPr>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l2br w:val="nil"/>
          <w:tr2bl w:val="nil"/>
        </w:tcBorders>
        <w:shd w:val="clear" w:color="auto" w:fill="FFFFFF" w:themeFill="background1"/>
      </w:tcPr>
    </w:tblStylePr>
    <w:tblStylePr w:type="firstCol">
      <w:rPr>
        <w:b w:val="0"/>
        <w:bCs/>
      </w:rPr>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l2br w:val="nil"/>
          <w:tr2bl w:val="nil"/>
        </w:tcBorders>
      </w:tcPr>
    </w:tblStylePr>
    <w:tblStylePr w:type="lastCol">
      <w:rPr>
        <w:b w:val="0"/>
        <w:bCs/>
      </w:rPr>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l2br w:val="nil"/>
          <w:tr2bl w:val="nil"/>
        </w:tcBorders>
        <w:shd w:val="clear" w:color="auto" w:fill="FFFFFF" w:themeFill="background1"/>
      </w:tcPr>
    </w:tblStylePr>
    <w:tblStylePr w:type="band1Vert">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cBorders>
      </w:tcPr>
    </w:tblStylePr>
    <w:tblStylePr w:type="band2Vert">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cBorders>
      </w:tcPr>
    </w:tblStylePr>
    <w:tblStylePr w:type="band1Horz">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cBorders>
      </w:tcPr>
    </w:tblStylePr>
    <w:tblStylePr w:type="band2Horz">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cBorders>
      </w:tcPr>
    </w:tblStylePr>
    <w:tblStylePr w:type="neCell">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cBorders>
      </w:tcPr>
    </w:tblStylePr>
    <w:tblStylePr w:type="nwCell">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cBorders>
      </w:tcPr>
    </w:tblStylePr>
    <w:tblStylePr w:type="seCell">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cBorders>
      </w:tcPr>
    </w:tblStylePr>
    <w:tblStylePr w:type="swCell">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cBorders>
      </w:tcPr>
    </w:tblStylePr>
  </w:style>
  <w:style w:type="paragraph" w:styleId="ListParagraph">
    <w:name w:val="List Paragraph"/>
    <w:basedOn w:val="Normal"/>
    <w:uiPriority w:val="34"/>
    <w:semiHidden/>
    <w:qFormat/>
    <w:rsid w:val="00D30627"/>
    <w:pPr>
      <w:ind w:left="720"/>
      <w:contextualSpacing/>
    </w:pPr>
  </w:style>
  <w:style w:type="paragraph" w:customStyle="1" w:styleId="Bullet1">
    <w:name w:val="Bullet 1"/>
    <w:basedOn w:val="BodyText"/>
    <w:qFormat/>
    <w:rsid w:val="00D30627"/>
    <w:pPr>
      <w:numPr>
        <w:numId w:val="34"/>
      </w:numPr>
      <w:tabs>
        <w:tab w:val="clear" w:pos="357"/>
        <w:tab w:val="clear" w:pos="714"/>
        <w:tab w:val="clear" w:pos="2552"/>
      </w:tabs>
      <w:suppressAutoHyphens w:val="0"/>
      <w:spacing w:before="0" w:after="160" w:line="259" w:lineRule="auto"/>
    </w:pPr>
    <w:rPr>
      <w:rFonts w:ascii="Public Sans" w:eastAsia="Times New Roman" w:hAnsi="Public Sans" w:cs="Times New Roman"/>
      <w:color w:val="auto"/>
      <w:lang w:eastAsia="en-US"/>
    </w:rPr>
  </w:style>
  <w:style w:type="paragraph" w:styleId="Revision">
    <w:name w:val="Revision"/>
    <w:hidden/>
    <w:uiPriority w:val="99"/>
    <w:semiHidden/>
    <w:rsid w:val="00D173EE"/>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288314974">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4582278">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s://www.facs.nsw.gov.au/housing/nsw-response-to-homelessness/understanding-homelessness-through-data/pathways-to-homelessness" TargetMode="External"/><Relationship Id="rId2" Type="http://schemas.openxmlformats.org/officeDocument/2006/relationships/hyperlink" Target="https://www.facs.nsw.gov.au/__data/assets/pdf_file/0008/842471/Pathways-to-homelessness-for-people-with-mental-health-issues-in-NSW-January-2023-Evidence-Brief.pdf" TargetMode="External"/><Relationship Id="rId1" Type="http://schemas.openxmlformats.org/officeDocument/2006/relationships/hyperlink" Target="https://www.aihw.gov.au/family-domestic-and-sexual-violence/population-groups/cald" TargetMode="External"/><Relationship Id="rId5" Type="http://schemas.openxmlformats.org/officeDocument/2006/relationships/hyperlink" Target="https://www.aihw.gov.au/reports/homelessness-services/sleeping-rough-profile-shs-clients/summary" TargetMode="External"/><Relationship Id="rId4" Type="http://schemas.openxmlformats.org/officeDocument/2006/relationships/hyperlink" Target="https://www.aihw.gov.au/reports/alcohol/alcohol-tobacco-other-drugs-australia/contents/priority-populations/people-experiencing-homelessness"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ryk4\AppData\Local\Temp\35\wz06d8\Homes%20NSW%20Microsoft%20Word%20Templates\Homes%20NSW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7C5EFF51534A18B57122D7DA06CE3C"/>
        <w:category>
          <w:name w:val="General"/>
          <w:gallery w:val="placeholder"/>
        </w:category>
        <w:types>
          <w:type w:val="bbPlcHdr"/>
        </w:types>
        <w:behaviors>
          <w:behavior w:val="content"/>
        </w:behaviors>
        <w:guid w:val="{DF41A829-FFC1-4B24-90C9-B979D9CBE231}"/>
      </w:docPartPr>
      <w:docPartBody>
        <w:p w:rsidR="00E6697A" w:rsidRDefault="00E6697A">
          <w:pPr>
            <w:pStyle w:val="2E7C5EFF51534A18B57122D7DA06CE3C"/>
          </w:pPr>
          <w:r w:rsidRPr="005C68F6">
            <w:rPr>
              <w:rStyle w:val="PlaceholderText"/>
            </w:rPr>
            <w:t>Click or tap here to enter text.</w:t>
          </w:r>
        </w:p>
      </w:docPartBody>
    </w:docPart>
    <w:docPart>
      <w:docPartPr>
        <w:name w:val="514AA35606734FCB8BC652B5E209FF52"/>
        <w:category>
          <w:name w:val="General"/>
          <w:gallery w:val="placeholder"/>
        </w:category>
        <w:types>
          <w:type w:val="bbPlcHdr"/>
        </w:types>
        <w:behaviors>
          <w:behavior w:val="content"/>
        </w:behaviors>
        <w:guid w:val="{A9B67B60-B2CB-468D-8525-D092BB456828}"/>
      </w:docPartPr>
      <w:docPartBody>
        <w:p w:rsidR="00E6697A" w:rsidRDefault="00E6697A">
          <w:pPr>
            <w:pStyle w:val="514AA35606734FCB8BC652B5E209FF52"/>
          </w:pPr>
          <w:r w:rsidRPr="00194597">
            <w:rPr>
              <w:rStyle w:val="PlaceholderText"/>
            </w:rPr>
            <w:t>[</w:t>
          </w:r>
          <w:r w:rsidRPr="00956C67">
            <w:rPr>
              <w:rStyle w:val="PlaceholderText"/>
            </w:rPr>
            <w:t xml:space="preserve">Click here to enter </w:t>
          </w:r>
          <w:r>
            <w:rPr>
              <w:rStyle w:val="PlaceholderText"/>
            </w:rPr>
            <w:t xml:space="preserve">Document </w:t>
          </w:r>
          <w:r w:rsidRPr="00956C67">
            <w:rPr>
              <w:rStyle w:val="PlaceholderText"/>
            </w:rPr>
            <w:t>Title – 2 lines maximum</w:t>
          </w:r>
          <w:r>
            <w:rPr>
              <w:rStyle w:val="PlaceholderText"/>
            </w:rPr>
            <w:t>.</w:t>
          </w:r>
          <w:r w:rsidRPr="00194597">
            <w:rPr>
              <w:rStyle w:val="PlaceholderText"/>
            </w:rPr>
            <w:t>]</w:t>
          </w:r>
        </w:p>
      </w:docPartBody>
    </w:docPart>
    <w:docPart>
      <w:docPartPr>
        <w:name w:val="26F77956A64348EC87BAD44CCCB508EE"/>
        <w:category>
          <w:name w:val="General"/>
          <w:gallery w:val="placeholder"/>
        </w:category>
        <w:types>
          <w:type w:val="bbPlcHdr"/>
        </w:types>
        <w:behaviors>
          <w:behavior w:val="content"/>
        </w:behaviors>
        <w:guid w:val="{8446901F-1426-45BE-803E-103135ABB7B3}"/>
      </w:docPartPr>
      <w:docPartBody>
        <w:p w:rsidR="00E6697A" w:rsidRDefault="00E6697A">
          <w:pPr>
            <w:pStyle w:val="26F77956A64348EC87BAD44CCCB508EE"/>
          </w:pPr>
          <w:r>
            <w:rPr>
              <w:rStyle w:val="PlaceholderText"/>
            </w:rPr>
            <w:t>[C</w:t>
          </w:r>
          <w:r w:rsidRPr="00D44DD2">
            <w:rPr>
              <w:rStyle w:val="PlaceholderText"/>
            </w:rPr>
            <w:t xml:space="preserve">lick here to enter </w:t>
          </w:r>
          <w:r>
            <w:rPr>
              <w:rStyle w:val="PlaceholderText"/>
            </w:rPr>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7A"/>
    <w:rsid w:val="002A61F2"/>
    <w:rsid w:val="00774FFF"/>
    <w:rsid w:val="007D7116"/>
    <w:rsid w:val="00C811B8"/>
    <w:rsid w:val="00E6697A"/>
    <w:rsid w:val="00F77589"/>
    <w:rsid w:val="00FB2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7C5EFF51534A18B57122D7DA06CE3C">
    <w:name w:val="2E7C5EFF51534A18B57122D7DA06CE3C"/>
  </w:style>
  <w:style w:type="paragraph" w:customStyle="1" w:styleId="514AA35606734FCB8BC652B5E209FF52">
    <w:name w:val="514AA35606734FCB8BC652B5E209FF52"/>
  </w:style>
  <w:style w:type="paragraph" w:customStyle="1" w:styleId="26F77956A64348EC87BAD44CCCB508EE">
    <w:name w:val="26F77956A64348EC87BAD44CCCB50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rgbClr val="22272B"/>
      </a:dk1>
      <a:lt1>
        <a:srgbClr val="FFFFFF"/>
      </a:lt1>
      <a:dk2>
        <a:srgbClr val="D7153A"/>
      </a:dk2>
      <a:lt2>
        <a:srgbClr val="002664"/>
      </a:lt2>
      <a:accent1>
        <a:srgbClr val="630019"/>
      </a:accent1>
      <a:accent2>
        <a:srgbClr val="D7153A"/>
      </a:accent2>
      <a:accent3>
        <a:srgbClr val="FFB8C1"/>
      </a:accent3>
      <a:accent4>
        <a:srgbClr val="FFE6EA"/>
      </a:accent4>
      <a:accent5>
        <a:srgbClr val="FAAF05"/>
      </a:accent5>
      <a:accent6>
        <a:srgbClr val="FFF4CF"/>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Homes NSW_Factsheet.dotx</Template>
  <TotalTime>8</TotalTime>
  <Pages>6</Pages>
  <Words>2020</Words>
  <Characters>11518</Characters>
  <Application>Microsoft Office Word</Application>
  <DocSecurity>8</DocSecurity>
  <Lines>95</Lines>
  <Paragraphs>27</Paragraphs>
  <ScaleCrop>false</ScaleCrop>
  <HeadingPairs>
    <vt:vector size="2" baseType="variant">
      <vt:variant>
        <vt:lpstr>Title</vt:lpstr>
      </vt:variant>
      <vt:variant>
        <vt:i4>1</vt:i4>
      </vt:variant>
    </vt:vector>
  </HeadingPairs>
  <TitlesOfParts>
    <vt:vector size="1" baseType="lpstr">
      <vt:lpstr>Fact Sheet #1: Respecting the diversity of homeless experiences</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#1: Respecting the diversity of homeless experiences</dc:title>
  <dc:subject/>
  <dc:creator>Kate Berry</dc:creator>
  <cp:keywords/>
  <dc:description/>
  <cp:lastModifiedBy>Gareth Jones</cp:lastModifiedBy>
  <cp:revision>11</cp:revision>
  <cp:lastPrinted>2022-08-28T00:40:00Z</cp:lastPrinted>
  <dcterms:created xsi:type="dcterms:W3CDTF">2024-11-07T05:17:00Z</dcterms:created>
  <dcterms:modified xsi:type="dcterms:W3CDTF">2024-11-12T03:53:00Z</dcterms:modified>
  <cp:category/>
  <cp:version>1</cp:version>
</cp:coreProperties>
</file>