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627D" w14:textId="77777777" w:rsidR="00175B16" w:rsidRDefault="00175B16" w:rsidP="00175B16">
      <w:pPr>
        <w:rPr>
          <w:b/>
          <w:color w:val="008000"/>
          <w:sz w:val="32"/>
        </w:rPr>
      </w:pPr>
      <w:r>
        <w:rPr>
          <w:b/>
          <w:color w:val="008000"/>
          <w:sz w:val="32"/>
        </w:rPr>
        <w:t xml:space="preserve">North Coast Region </w:t>
      </w:r>
      <w:r w:rsidRPr="00CE3DDD">
        <w:rPr>
          <w:b/>
          <w:color w:val="008000"/>
          <w:sz w:val="32"/>
        </w:rPr>
        <w:t>– What’s the Housing Demand?</w:t>
      </w:r>
    </w:p>
    <w:p w14:paraId="32100538" w14:textId="77777777" w:rsidR="00D21669" w:rsidRDefault="00D21669" w:rsidP="00D21669">
      <w:pPr>
        <w:rPr>
          <w:sz w:val="22"/>
          <w:szCs w:val="22"/>
        </w:rPr>
      </w:pPr>
      <w:r>
        <w:rPr>
          <w:sz w:val="22"/>
          <w:szCs w:val="22"/>
        </w:rPr>
        <w:t>This Housing Snapshot looks at aspects of housing demand in the North Coast, particularly from the 2016 Census to the 2021 Census – including population, age profile, household type, household size, income (change in low, moderate and high income households and low income re</w:t>
      </w:r>
      <w:r w:rsidR="00B35AA6">
        <w:rPr>
          <w:sz w:val="22"/>
          <w:szCs w:val="22"/>
        </w:rPr>
        <w:t xml:space="preserve">ntal households), homelessness </w:t>
      </w:r>
      <w:r>
        <w:rPr>
          <w:sz w:val="22"/>
          <w:szCs w:val="22"/>
        </w:rPr>
        <w:t xml:space="preserve">and people with disability. </w:t>
      </w:r>
    </w:p>
    <w:p w14:paraId="2BA4FB79" w14:textId="77777777" w:rsidR="002E51A6" w:rsidRPr="002E51A6" w:rsidRDefault="002E51A6" w:rsidP="00175B16">
      <w:pPr>
        <w:rPr>
          <w:sz w:val="22"/>
          <w:szCs w:val="22"/>
        </w:rPr>
      </w:pPr>
      <w:r>
        <w:rPr>
          <w:sz w:val="22"/>
          <w:szCs w:val="22"/>
        </w:rPr>
        <w:t>There have been significant challenges to this region since the 2016 Cen</w:t>
      </w:r>
      <w:r w:rsidR="00182DE5">
        <w:rPr>
          <w:sz w:val="22"/>
          <w:szCs w:val="22"/>
        </w:rPr>
        <w:t>sus, including natural disasters, tourism and u</w:t>
      </w:r>
      <w:r w:rsidR="007B7D01">
        <w:rPr>
          <w:sz w:val="22"/>
          <w:szCs w:val="22"/>
        </w:rPr>
        <w:t xml:space="preserve">nexpectedly high additional </w:t>
      </w:r>
      <w:proofErr w:type="spellStart"/>
      <w:r w:rsidR="007B7D01">
        <w:rPr>
          <w:sz w:val="22"/>
          <w:szCs w:val="22"/>
        </w:rPr>
        <w:t>inmigration</w:t>
      </w:r>
      <w:proofErr w:type="spellEnd"/>
      <w:r w:rsidR="007B7D01">
        <w:rPr>
          <w:sz w:val="22"/>
          <w:szCs w:val="22"/>
        </w:rPr>
        <w:t xml:space="preserve"> – in part due to the desire </w:t>
      </w:r>
      <w:r w:rsidR="00772CFF">
        <w:rPr>
          <w:sz w:val="22"/>
          <w:szCs w:val="22"/>
        </w:rPr>
        <w:t xml:space="preserve">for sea and tree changes </w:t>
      </w:r>
      <w:r w:rsidR="007B7D01">
        <w:rPr>
          <w:sz w:val="22"/>
          <w:szCs w:val="22"/>
        </w:rPr>
        <w:t>and</w:t>
      </w:r>
      <w:r w:rsidR="0035336A">
        <w:rPr>
          <w:sz w:val="22"/>
          <w:szCs w:val="22"/>
        </w:rPr>
        <w:t xml:space="preserve"> increased ability to work remotely -</w:t>
      </w:r>
      <w:r w:rsidR="007B7D01">
        <w:rPr>
          <w:sz w:val="22"/>
          <w:szCs w:val="22"/>
        </w:rPr>
        <w:t xml:space="preserve"> </w:t>
      </w:r>
      <w:r>
        <w:rPr>
          <w:sz w:val="22"/>
          <w:szCs w:val="22"/>
        </w:rPr>
        <w:t>which have impacted the community and the demand for housing.</w:t>
      </w:r>
    </w:p>
    <w:p w14:paraId="735023C0" w14:textId="77777777" w:rsidR="00175B16" w:rsidRDefault="00175B16" w:rsidP="00175B16">
      <w:pPr>
        <w:rPr>
          <w:b/>
          <w:color w:val="008000"/>
          <w:sz w:val="32"/>
        </w:rPr>
      </w:pPr>
    </w:p>
    <w:p w14:paraId="647871F0" w14:textId="77777777" w:rsidR="00175B16" w:rsidRPr="00293101" w:rsidRDefault="00175B16" w:rsidP="00175B16">
      <w:pPr>
        <w:rPr>
          <w:b/>
          <w:color w:val="008000"/>
          <w:sz w:val="32"/>
        </w:rPr>
      </w:pPr>
      <w:r w:rsidRPr="00293101">
        <w:rPr>
          <w:b/>
          <w:color w:val="008000"/>
          <w:sz w:val="32"/>
        </w:rPr>
        <w:t xml:space="preserve">Population </w:t>
      </w:r>
    </w:p>
    <w:p w14:paraId="7BB7E152" w14:textId="77777777" w:rsidR="0035336A" w:rsidRPr="0035336A" w:rsidRDefault="0035336A" w:rsidP="00175B16">
      <w:pPr>
        <w:pStyle w:val="ListParagraph"/>
        <w:numPr>
          <w:ilvl w:val="0"/>
          <w:numId w:val="14"/>
        </w:numPr>
        <w:rPr>
          <w:sz w:val="22"/>
          <w:szCs w:val="22"/>
        </w:rPr>
      </w:pPr>
      <w:r w:rsidRPr="0035336A">
        <w:rPr>
          <w:sz w:val="22"/>
          <w:szCs w:val="22"/>
        </w:rPr>
        <w:t xml:space="preserve">Between 2016 and 2021, the population of the North Coast grew by </w:t>
      </w:r>
      <w:r w:rsidR="001D7ACB">
        <w:rPr>
          <w:sz w:val="22"/>
          <w:szCs w:val="22"/>
        </w:rPr>
        <w:t>7.7</w:t>
      </w:r>
      <w:r w:rsidRPr="0035336A">
        <w:rPr>
          <w:sz w:val="22"/>
          <w:szCs w:val="22"/>
        </w:rPr>
        <w:t>% or 3</w:t>
      </w:r>
      <w:r w:rsidR="001D7ACB">
        <w:rPr>
          <w:sz w:val="22"/>
          <w:szCs w:val="22"/>
        </w:rPr>
        <w:t>8,526</w:t>
      </w:r>
      <w:r w:rsidRPr="0035336A">
        <w:rPr>
          <w:sz w:val="22"/>
          <w:szCs w:val="22"/>
        </w:rPr>
        <w:t xml:space="preserve">, from </w:t>
      </w:r>
      <w:r w:rsidR="001D7ACB">
        <w:rPr>
          <w:sz w:val="22"/>
          <w:szCs w:val="22"/>
        </w:rPr>
        <w:t>502,520</w:t>
      </w:r>
      <w:r w:rsidRPr="0035336A">
        <w:rPr>
          <w:sz w:val="22"/>
          <w:szCs w:val="22"/>
        </w:rPr>
        <w:t xml:space="preserve"> to 5</w:t>
      </w:r>
      <w:r w:rsidR="001D7ACB">
        <w:rPr>
          <w:sz w:val="22"/>
          <w:szCs w:val="22"/>
        </w:rPr>
        <w:t>41,046, using ABS Census population data</w:t>
      </w:r>
      <w:r w:rsidRPr="0035336A">
        <w:rPr>
          <w:sz w:val="22"/>
          <w:szCs w:val="22"/>
        </w:rPr>
        <w:t>.</w:t>
      </w:r>
    </w:p>
    <w:p w14:paraId="584BFE86" w14:textId="77777777" w:rsidR="0035336A" w:rsidRDefault="0035336A" w:rsidP="00175B16">
      <w:pPr>
        <w:pStyle w:val="ListParagraph"/>
        <w:numPr>
          <w:ilvl w:val="0"/>
          <w:numId w:val="14"/>
        </w:numPr>
        <w:rPr>
          <w:sz w:val="22"/>
          <w:szCs w:val="22"/>
        </w:rPr>
      </w:pPr>
      <w:r w:rsidRPr="0035336A">
        <w:rPr>
          <w:sz w:val="22"/>
          <w:szCs w:val="22"/>
        </w:rPr>
        <w:t xml:space="preserve">On an individual LGA basis, </w:t>
      </w:r>
      <w:r>
        <w:rPr>
          <w:sz w:val="22"/>
          <w:szCs w:val="22"/>
        </w:rPr>
        <w:t>population growth ranged from 2.</w:t>
      </w:r>
      <w:r w:rsidR="001D7ACB">
        <w:rPr>
          <w:sz w:val="22"/>
          <w:szCs w:val="22"/>
        </w:rPr>
        <w:t>8</w:t>
      </w:r>
      <w:r>
        <w:rPr>
          <w:sz w:val="22"/>
          <w:szCs w:val="22"/>
        </w:rPr>
        <w:t xml:space="preserve">% in </w:t>
      </w:r>
      <w:r w:rsidR="001D7ACB">
        <w:rPr>
          <w:sz w:val="22"/>
          <w:szCs w:val="22"/>
        </w:rPr>
        <w:t>Lismore</w:t>
      </w:r>
      <w:r>
        <w:rPr>
          <w:sz w:val="22"/>
          <w:szCs w:val="22"/>
        </w:rPr>
        <w:t xml:space="preserve"> to 14.</w:t>
      </w:r>
      <w:r w:rsidR="001D7ACB">
        <w:rPr>
          <w:sz w:val="22"/>
          <w:szCs w:val="22"/>
        </w:rPr>
        <w:t>5</w:t>
      </w:r>
      <w:r>
        <w:rPr>
          <w:sz w:val="22"/>
          <w:szCs w:val="22"/>
        </w:rPr>
        <w:t xml:space="preserve">% in Byron.  </w:t>
      </w:r>
    </w:p>
    <w:p w14:paraId="76703EB5" w14:textId="77777777" w:rsidR="001D7ACB" w:rsidRDefault="001D7ACB" w:rsidP="00175B16">
      <w:pPr>
        <w:pStyle w:val="ListParagraph"/>
        <w:numPr>
          <w:ilvl w:val="0"/>
          <w:numId w:val="14"/>
        </w:numPr>
        <w:rPr>
          <w:sz w:val="22"/>
          <w:szCs w:val="22"/>
        </w:rPr>
      </w:pPr>
      <w:r>
        <w:rPr>
          <w:sz w:val="22"/>
          <w:szCs w:val="22"/>
        </w:rPr>
        <w:t xml:space="preserve">In numeric terms, the largest population increase occurred in Port-Macquarie Hastings with 8,221, followed by </w:t>
      </w:r>
      <w:r w:rsidR="00861296">
        <w:rPr>
          <w:sz w:val="22"/>
          <w:szCs w:val="22"/>
        </w:rPr>
        <w:t>Tweed with 6,018 and Coffs Harbour with 5,810.</w:t>
      </w:r>
    </w:p>
    <w:p w14:paraId="4B229266" w14:textId="77777777" w:rsidR="008E25E4" w:rsidRDefault="008E25E4" w:rsidP="00175B16">
      <w:pPr>
        <w:pStyle w:val="ListParagraph"/>
        <w:numPr>
          <w:ilvl w:val="0"/>
          <w:numId w:val="14"/>
        </w:numPr>
        <w:rPr>
          <w:sz w:val="22"/>
          <w:szCs w:val="22"/>
        </w:rPr>
      </w:pPr>
      <w:r>
        <w:rPr>
          <w:sz w:val="22"/>
          <w:szCs w:val="22"/>
        </w:rPr>
        <w:t>Tweed has the largest population of the North Coast LGA</w:t>
      </w:r>
      <w:r w:rsidR="001C6FB7">
        <w:rPr>
          <w:sz w:val="22"/>
          <w:szCs w:val="22"/>
        </w:rPr>
        <w:t>s</w:t>
      </w:r>
      <w:r>
        <w:rPr>
          <w:sz w:val="22"/>
          <w:szCs w:val="22"/>
        </w:rPr>
        <w:t xml:space="preserve"> with 9</w:t>
      </w:r>
      <w:r w:rsidR="00861296">
        <w:rPr>
          <w:sz w:val="22"/>
          <w:szCs w:val="22"/>
        </w:rPr>
        <w:t>7,392 (comprising 18.0</w:t>
      </w:r>
      <w:r>
        <w:rPr>
          <w:sz w:val="22"/>
          <w:szCs w:val="22"/>
        </w:rPr>
        <w:t>% of the region’s total population)</w:t>
      </w:r>
      <w:r w:rsidR="001C6FB7">
        <w:rPr>
          <w:sz w:val="22"/>
          <w:szCs w:val="22"/>
        </w:rPr>
        <w:t xml:space="preserve">, while Kyogle has the smallest population with </w:t>
      </w:r>
      <w:r w:rsidR="00861296">
        <w:rPr>
          <w:sz w:val="22"/>
          <w:szCs w:val="22"/>
        </w:rPr>
        <w:t>9,359</w:t>
      </w:r>
      <w:r w:rsidR="001C6FB7">
        <w:rPr>
          <w:sz w:val="22"/>
          <w:szCs w:val="22"/>
        </w:rPr>
        <w:t xml:space="preserve"> (comprising 1.</w:t>
      </w:r>
      <w:r w:rsidR="00861296">
        <w:rPr>
          <w:sz w:val="22"/>
          <w:szCs w:val="22"/>
        </w:rPr>
        <w:t>7</w:t>
      </w:r>
      <w:r w:rsidR="001C6FB7">
        <w:rPr>
          <w:sz w:val="22"/>
          <w:szCs w:val="22"/>
        </w:rPr>
        <w:t>% of the region’s population</w:t>
      </w:r>
      <w:r w:rsidR="00C6571D">
        <w:rPr>
          <w:sz w:val="22"/>
          <w:szCs w:val="22"/>
        </w:rPr>
        <w:t>)</w:t>
      </w:r>
      <w:r w:rsidR="001C6FB7">
        <w:rPr>
          <w:sz w:val="22"/>
          <w:szCs w:val="22"/>
        </w:rPr>
        <w:t>.</w:t>
      </w:r>
    </w:p>
    <w:p w14:paraId="08573B95" w14:textId="77777777" w:rsidR="00770A4C" w:rsidRPr="00861296" w:rsidRDefault="00770A4C" w:rsidP="00175B16">
      <w:pPr>
        <w:pStyle w:val="ListParagraph"/>
        <w:numPr>
          <w:ilvl w:val="0"/>
          <w:numId w:val="14"/>
        </w:numPr>
        <w:rPr>
          <w:sz w:val="22"/>
          <w:szCs w:val="22"/>
        </w:rPr>
      </w:pPr>
      <w:r w:rsidRPr="00861296">
        <w:rPr>
          <w:sz w:val="22"/>
          <w:szCs w:val="22"/>
        </w:rPr>
        <w:t xml:space="preserve">Note that Byron LGA ranks sixth in the whole of NSW for percentage population growth between 2016 and 2021, (behind Camden </w:t>
      </w:r>
      <w:r w:rsidR="00E8445D">
        <w:rPr>
          <w:sz w:val="22"/>
          <w:szCs w:val="22"/>
        </w:rPr>
        <w:t>52.54</w:t>
      </w:r>
      <w:r w:rsidRPr="00861296">
        <w:rPr>
          <w:sz w:val="22"/>
          <w:szCs w:val="22"/>
        </w:rPr>
        <w:t xml:space="preserve">%, The Hills </w:t>
      </w:r>
      <w:r w:rsidR="00E8445D">
        <w:rPr>
          <w:sz w:val="22"/>
          <w:szCs w:val="22"/>
        </w:rPr>
        <w:t>22.03</w:t>
      </w:r>
      <w:r w:rsidRPr="00861296">
        <w:rPr>
          <w:sz w:val="22"/>
          <w:szCs w:val="22"/>
        </w:rPr>
        <w:t>%, Blacktown 1</w:t>
      </w:r>
      <w:r w:rsidR="00E8445D">
        <w:rPr>
          <w:sz w:val="22"/>
          <w:szCs w:val="22"/>
        </w:rPr>
        <w:t>7.75</w:t>
      </w:r>
      <w:r w:rsidRPr="00861296">
        <w:rPr>
          <w:sz w:val="22"/>
          <w:szCs w:val="22"/>
        </w:rPr>
        <w:t>%, Maitland 1</w:t>
      </w:r>
      <w:r w:rsidR="00E8445D">
        <w:rPr>
          <w:sz w:val="22"/>
          <w:szCs w:val="22"/>
        </w:rPr>
        <w:t>6.72</w:t>
      </w:r>
      <w:r w:rsidRPr="00861296">
        <w:rPr>
          <w:sz w:val="22"/>
          <w:szCs w:val="22"/>
        </w:rPr>
        <w:t xml:space="preserve">% and Cessnock </w:t>
      </w:r>
      <w:r w:rsidR="00E8445D">
        <w:rPr>
          <w:sz w:val="22"/>
          <w:szCs w:val="22"/>
        </w:rPr>
        <w:t>14.51</w:t>
      </w:r>
      <w:r w:rsidRPr="00861296">
        <w:rPr>
          <w:sz w:val="22"/>
          <w:szCs w:val="22"/>
        </w:rPr>
        <w:t>%).</w:t>
      </w:r>
    </w:p>
    <w:p w14:paraId="15958585" w14:textId="77777777" w:rsidR="00175B16" w:rsidRPr="00600200" w:rsidRDefault="00D25054" w:rsidP="00175B16">
      <w:pPr>
        <w:pStyle w:val="ListParagraph"/>
        <w:numPr>
          <w:ilvl w:val="0"/>
          <w:numId w:val="14"/>
        </w:numPr>
        <w:rPr>
          <w:sz w:val="22"/>
          <w:szCs w:val="22"/>
        </w:rPr>
      </w:pPr>
      <w:r>
        <w:rPr>
          <w:sz w:val="22"/>
        </w:rPr>
        <w:t>The Department of</w:t>
      </w:r>
      <w:r w:rsidR="001C6FB7">
        <w:rPr>
          <w:sz w:val="22"/>
        </w:rPr>
        <w:t xml:space="preserve"> </w:t>
      </w:r>
      <w:r w:rsidR="00175B16" w:rsidRPr="00600200">
        <w:rPr>
          <w:sz w:val="22"/>
        </w:rPr>
        <w:t>Planning</w:t>
      </w:r>
      <w:r>
        <w:rPr>
          <w:sz w:val="22"/>
        </w:rPr>
        <w:t xml:space="preserve"> and Environment</w:t>
      </w:r>
      <w:r w:rsidR="00175B16" w:rsidRPr="00600200">
        <w:rPr>
          <w:sz w:val="22"/>
        </w:rPr>
        <w:t xml:space="preserve"> have prepared demographic information on every LGA in the region.  Their projections indicates that the majority of the LGAs in the region are anticipated to increase in population to 20</w:t>
      </w:r>
      <w:r w:rsidR="001C6FB7">
        <w:rPr>
          <w:sz w:val="22"/>
        </w:rPr>
        <w:t>41</w:t>
      </w:r>
      <w:r w:rsidR="00175B16" w:rsidRPr="00600200">
        <w:rPr>
          <w:sz w:val="22"/>
        </w:rPr>
        <w:t xml:space="preserve">, with the exception of </w:t>
      </w:r>
      <w:r w:rsidR="001C6FB7">
        <w:rPr>
          <w:sz w:val="22"/>
        </w:rPr>
        <w:t>Kyogle and Lismore,</w:t>
      </w:r>
      <w:r w:rsidR="00175B16" w:rsidRPr="00600200">
        <w:rPr>
          <w:sz w:val="22"/>
        </w:rPr>
        <w:t xml:space="preserve"> for which the Department predicts </w:t>
      </w:r>
      <w:r w:rsidR="00182DE5">
        <w:rPr>
          <w:sz w:val="22"/>
        </w:rPr>
        <w:t xml:space="preserve">a </w:t>
      </w:r>
      <w:r w:rsidR="00175B16" w:rsidRPr="00600200">
        <w:rPr>
          <w:sz w:val="22"/>
        </w:rPr>
        <w:t>decline.</w:t>
      </w:r>
      <w:r w:rsidR="001C6FB7">
        <w:rPr>
          <w:sz w:val="22"/>
        </w:rPr>
        <w:t xml:space="preserve">  NSW Planning forecasts the strongest proportional populati</w:t>
      </w:r>
      <w:r w:rsidR="002A09FE">
        <w:rPr>
          <w:sz w:val="22"/>
        </w:rPr>
        <w:t>on growth in Byron (the only LGA in the region they anticipate will have stronger annual growth than the NSW average of 0.95% per annum).  However, numerically the largest increases in population to 2041 are predicted for Port Macquarie-Hastings, followed by Tweed and Coffs Harbour</w:t>
      </w:r>
      <w:r w:rsidR="00182DE5">
        <w:rPr>
          <w:sz w:val="22"/>
        </w:rPr>
        <w:t>.</w:t>
      </w:r>
      <w:r w:rsidR="00175B16" w:rsidRPr="00600200">
        <w:rPr>
          <w:sz w:val="22"/>
        </w:rPr>
        <w:t xml:space="preserve">  </w:t>
      </w:r>
    </w:p>
    <w:p w14:paraId="242FF03F" w14:textId="77777777" w:rsidR="002A09FE" w:rsidRDefault="002A09FE" w:rsidP="00175B16">
      <w:pPr>
        <w:pStyle w:val="ListParagraph"/>
        <w:numPr>
          <w:ilvl w:val="0"/>
          <w:numId w:val="14"/>
        </w:numPr>
        <w:rPr>
          <w:sz w:val="22"/>
          <w:szCs w:val="22"/>
        </w:rPr>
      </w:pPr>
      <w:r>
        <w:rPr>
          <w:sz w:val="22"/>
          <w:szCs w:val="22"/>
        </w:rPr>
        <w:t>The table below shows the population change for each</w:t>
      </w:r>
      <w:r w:rsidR="00861296">
        <w:rPr>
          <w:sz w:val="22"/>
          <w:szCs w:val="22"/>
        </w:rPr>
        <w:t xml:space="preserve"> North Coast LGA and the region</w:t>
      </w:r>
      <w:r w:rsidR="00F57A13">
        <w:rPr>
          <w:sz w:val="22"/>
          <w:szCs w:val="22"/>
        </w:rPr>
        <w:t xml:space="preserve"> from 2011 to 2021</w:t>
      </w:r>
      <w:r w:rsidR="00861296">
        <w:rPr>
          <w:sz w:val="22"/>
          <w:szCs w:val="22"/>
        </w:rPr>
        <w:t>, using ABS Census data.</w:t>
      </w:r>
    </w:p>
    <w:p w14:paraId="5E206BD0" w14:textId="77777777" w:rsidR="002A09FE" w:rsidRDefault="002A09FE" w:rsidP="002A09FE">
      <w:pPr>
        <w:rPr>
          <w:sz w:val="22"/>
          <w:szCs w:val="22"/>
        </w:rPr>
      </w:pPr>
    </w:p>
    <w:p w14:paraId="1CD4FCFB" w14:textId="77777777" w:rsidR="002A09FE" w:rsidRPr="002A09FE" w:rsidRDefault="001D7ACB" w:rsidP="002A09FE">
      <w:pPr>
        <w:rPr>
          <w:sz w:val="22"/>
          <w:szCs w:val="22"/>
        </w:rPr>
      </w:pPr>
      <w:r w:rsidRPr="001D7ACB">
        <w:rPr>
          <w:noProof/>
        </w:rPr>
        <w:lastRenderedPageBreak/>
        <w:drawing>
          <wp:inline distT="0" distB="0" distL="0" distR="0" wp14:anchorId="71636C6E" wp14:editId="0E43B7CB">
            <wp:extent cx="4591050" cy="3057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3057525"/>
                    </a:xfrm>
                    <a:prstGeom prst="rect">
                      <a:avLst/>
                    </a:prstGeom>
                    <a:noFill/>
                    <a:ln>
                      <a:noFill/>
                    </a:ln>
                  </pic:spPr>
                </pic:pic>
              </a:graphicData>
            </a:graphic>
          </wp:inline>
        </w:drawing>
      </w:r>
    </w:p>
    <w:p w14:paraId="31F9EAAC" w14:textId="77777777" w:rsidR="00182DE5" w:rsidRDefault="00182DE5" w:rsidP="00175B16">
      <w:pPr>
        <w:rPr>
          <w:b/>
          <w:color w:val="008000"/>
          <w:sz w:val="32"/>
        </w:rPr>
      </w:pPr>
    </w:p>
    <w:p w14:paraId="5BAC98E2" w14:textId="77777777" w:rsidR="00175B16" w:rsidRPr="001C58F3" w:rsidRDefault="00175B16" w:rsidP="00175B16">
      <w:pPr>
        <w:rPr>
          <w:b/>
          <w:color w:val="008000"/>
          <w:sz w:val="32"/>
        </w:rPr>
      </w:pPr>
      <w:r w:rsidRPr="001C58F3">
        <w:rPr>
          <w:b/>
          <w:color w:val="008000"/>
          <w:sz w:val="32"/>
        </w:rPr>
        <w:t>Age</w:t>
      </w:r>
    </w:p>
    <w:p w14:paraId="0771EC1F" w14:textId="77777777" w:rsidR="006B5C78" w:rsidRDefault="006B5C78" w:rsidP="006B5C78">
      <w:pPr>
        <w:numPr>
          <w:ilvl w:val="0"/>
          <w:numId w:val="18"/>
        </w:numPr>
        <w:spacing w:before="0" w:after="0"/>
        <w:rPr>
          <w:sz w:val="22"/>
          <w:szCs w:val="22"/>
        </w:rPr>
      </w:pPr>
      <w:r>
        <w:rPr>
          <w:sz w:val="22"/>
          <w:szCs w:val="22"/>
        </w:rPr>
        <w:t>The age profile of the region and particularly each LGA will impact on housing need and demand, including number of bedrooms, affordability, location and dwelling type.</w:t>
      </w:r>
    </w:p>
    <w:p w14:paraId="387C28D2" w14:textId="77777777" w:rsidR="00D76B81" w:rsidRPr="0038693C" w:rsidRDefault="00175B16" w:rsidP="0038693C">
      <w:pPr>
        <w:numPr>
          <w:ilvl w:val="0"/>
          <w:numId w:val="18"/>
        </w:numPr>
        <w:spacing w:before="0" w:after="0"/>
        <w:rPr>
          <w:sz w:val="22"/>
          <w:szCs w:val="22"/>
        </w:rPr>
      </w:pPr>
      <w:r w:rsidRPr="00175B16">
        <w:rPr>
          <w:sz w:val="22"/>
          <w:szCs w:val="22"/>
        </w:rPr>
        <w:t>The median age of the population of the twelve LGAs comprising the North Co</w:t>
      </w:r>
      <w:r>
        <w:rPr>
          <w:sz w:val="22"/>
          <w:szCs w:val="22"/>
        </w:rPr>
        <w:t>a</w:t>
      </w:r>
      <w:r w:rsidRPr="00175B16">
        <w:rPr>
          <w:sz w:val="22"/>
          <w:szCs w:val="22"/>
        </w:rPr>
        <w:t xml:space="preserve">st region </w:t>
      </w:r>
      <w:r w:rsidR="008A10CB">
        <w:rPr>
          <w:sz w:val="22"/>
          <w:szCs w:val="22"/>
        </w:rPr>
        <w:t xml:space="preserve">at the 2021 Census </w:t>
      </w:r>
      <w:r w:rsidRPr="00175B16">
        <w:rPr>
          <w:sz w:val="22"/>
          <w:szCs w:val="22"/>
        </w:rPr>
        <w:t>ranges between 43 years (</w:t>
      </w:r>
      <w:r w:rsidR="008A10CB">
        <w:rPr>
          <w:sz w:val="22"/>
          <w:szCs w:val="22"/>
        </w:rPr>
        <w:t>Byron</w:t>
      </w:r>
      <w:r w:rsidRPr="00175B16">
        <w:rPr>
          <w:sz w:val="22"/>
          <w:szCs w:val="22"/>
        </w:rPr>
        <w:t>) and 5</w:t>
      </w:r>
      <w:r w:rsidR="008A10CB">
        <w:rPr>
          <w:sz w:val="22"/>
          <w:szCs w:val="22"/>
        </w:rPr>
        <w:t>2</w:t>
      </w:r>
      <w:r w:rsidRPr="00175B16">
        <w:rPr>
          <w:sz w:val="22"/>
          <w:szCs w:val="22"/>
        </w:rPr>
        <w:t xml:space="preserve"> (</w:t>
      </w:r>
      <w:r w:rsidR="008A10CB">
        <w:rPr>
          <w:sz w:val="22"/>
          <w:szCs w:val="22"/>
        </w:rPr>
        <w:t xml:space="preserve">Kyogle and </w:t>
      </w:r>
      <w:r w:rsidRPr="00175B16">
        <w:rPr>
          <w:sz w:val="22"/>
          <w:szCs w:val="22"/>
        </w:rPr>
        <w:t>Nambucca</w:t>
      </w:r>
      <w:r w:rsidR="008A10CB">
        <w:rPr>
          <w:sz w:val="22"/>
          <w:szCs w:val="22"/>
        </w:rPr>
        <w:t xml:space="preserve"> Valley</w:t>
      </w:r>
      <w:r w:rsidRPr="00175B16">
        <w:rPr>
          <w:sz w:val="22"/>
          <w:szCs w:val="22"/>
        </w:rPr>
        <w:t xml:space="preserve">).  </w:t>
      </w:r>
      <w:r w:rsidRPr="00675A41">
        <w:rPr>
          <w:sz w:val="22"/>
          <w:szCs w:val="22"/>
        </w:rPr>
        <w:t>All North Coast LGAs have a median age at or above the median age for the Rest of NSW (excluding Sydney) of 43 years.</w:t>
      </w:r>
      <w:r w:rsidRPr="00175B16">
        <w:rPr>
          <w:sz w:val="22"/>
          <w:szCs w:val="22"/>
        </w:rPr>
        <w:t xml:space="preserve">  </w:t>
      </w:r>
    </w:p>
    <w:p w14:paraId="0E36C5AD" w14:textId="77777777" w:rsidR="00175B16" w:rsidRDefault="00175B16" w:rsidP="00175B16">
      <w:pPr>
        <w:numPr>
          <w:ilvl w:val="0"/>
          <w:numId w:val="18"/>
        </w:numPr>
        <w:spacing w:before="0" w:after="0"/>
        <w:rPr>
          <w:sz w:val="22"/>
          <w:szCs w:val="22"/>
        </w:rPr>
      </w:pPr>
      <w:r w:rsidRPr="00175B16">
        <w:rPr>
          <w:sz w:val="22"/>
          <w:szCs w:val="22"/>
        </w:rPr>
        <w:t xml:space="preserve">There is a strong similarity in the age profile of the North Coast LGAs.  All have a higher proportion of residents aged over </w:t>
      </w:r>
      <w:r w:rsidR="006C62B0">
        <w:rPr>
          <w:sz w:val="22"/>
          <w:szCs w:val="22"/>
        </w:rPr>
        <w:t>5</w:t>
      </w:r>
      <w:r w:rsidRPr="00175B16">
        <w:rPr>
          <w:sz w:val="22"/>
          <w:szCs w:val="22"/>
        </w:rPr>
        <w:t xml:space="preserve">5. Generally, the North Coast has a lower proportion of </w:t>
      </w:r>
      <w:r w:rsidR="006C62B0">
        <w:rPr>
          <w:sz w:val="22"/>
          <w:szCs w:val="22"/>
        </w:rPr>
        <w:t xml:space="preserve">young </w:t>
      </w:r>
      <w:r w:rsidRPr="00175B16">
        <w:rPr>
          <w:sz w:val="22"/>
          <w:szCs w:val="22"/>
        </w:rPr>
        <w:t>children (0-4</w:t>
      </w:r>
      <w:r w:rsidR="0038693C">
        <w:rPr>
          <w:sz w:val="22"/>
          <w:szCs w:val="22"/>
        </w:rPr>
        <w:t xml:space="preserve"> particularly, but also 5-14</w:t>
      </w:r>
      <w:r w:rsidRPr="00175B16">
        <w:rPr>
          <w:sz w:val="22"/>
          <w:szCs w:val="22"/>
        </w:rPr>
        <w:t>), young adults (15-</w:t>
      </w:r>
      <w:r w:rsidR="0038693C">
        <w:rPr>
          <w:sz w:val="22"/>
          <w:szCs w:val="22"/>
        </w:rPr>
        <w:t>19 and 20-</w:t>
      </w:r>
      <w:r w:rsidRPr="00175B16">
        <w:rPr>
          <w:sz w:val="22"/>
          <w:szCs w:val="22"/>
        </w:rPr>
        <w:t xml:space="preserve"> 24) and 25-</w:t>
      </w:r>
      <w:r w:rsidR="0038693C">
        <w:rPr>
          <w:sz w:val="22"/>
          <w:szCs w:val="22"/>
        </w:rPr>
        <w:t>34 and 35-</w:t>
      </w:r>
      <w:r w:rsidRPr="00175B16">
        <w:rPr>
          <w:sz w:val="22"/>
          <w:szCs w:val="22"/>
        </w:rPr>
        <w:t xml:space="preserve">44 year olds </w:t>
      </w:r>
      <w:r w:rsidR="002A3B6A">
        <w:rPr>
          <w:sz w:val="22"/>
          <w:szCs w:val="22"/>
        </w:rPr>
        <w:t>as well as</w:t>
      </w:r>
      <w:r w:rsidRPr="00175B16">
        <w:rPr>
          <w:sz w:val="22"/>
          <w:szCs w:val="22"/>
        </w:rPr>
        <w:t xml:space="preserve"> higher proportions of 45</w:t>
      </w:r>
      <w:r w:rsidR="0038693C">
        <w:rPr>
          <w:sz w:val="22"/>
          <w:szCs w:val="22"/>
        </w:rPr>
        <w:t>-54,</w:t>
      </w:r>
      <w:r w:rsidR="00F05318">
        <w:rPr>
          <w:sz w:val="22"/>
          <w:szCs w:val="22"/>
        </w:rPr>
        <w:t xml:space="preserve"> </w:t>
      </w:r>
      <w:r w:rsidR="0038693C">
        <w:rPr>
          <w:sz w:val="22"/>
          <w:szCs w:val="22"/>
        </w:rPr>
        <w:t>55-6</w:t>
      </w:r>
      <w:r w:rsidRPr="00175B16">
        <w:rPr>
          <w:sz w:val="22"/>
          <w:szCs w:val="22"/>
        </w:rPr>
        <w:t>4, 65 – 74, 75 – 84 year cohorts and frail aged (85+) than the Rest of NSW.</w:t>
      </w:r>
    </w:p>
    <w:p w14:paraId="664A38F7" w14:textId="77777777" w:rsidR="0038693C" w:rsidRPr="00175B16" w:rsidRDefault="0038693C" w:rsidP="00175B16">
      <w:pPr>
        <w:numPr>
          <w:ilvl w:val="0"/>
          <w:numId w:val="18"/>
        </w:numPr>
        <w:spacing w:before="0" w:after="0"/>
        <w:rPr>
          <w:sz w:val="22"/>
          <w:szCs w:val="22"/>
        </w:rPr>
      </w:pPr>
      <w:r>
        <w:rPr>
          <w:sz w:val="22"/>
          <w:szCs w:val="22"/>
        </w:rPr>
        <w:t xml:space="preserve">Of course there are exceptions: </w:t>
      </w:r>
    </w:p>
    <w:p w14:paraId="487841A2" w14:textId="77777777" w:rsidR="0038693C" w:rsidRDefault="0038693C" w:rsidP="0038693C">
      <w:pPr>
        <w:numPr>
          <w:ilvl w:val="1"/>
          <w:numId w:val="18"/>
        </w:numPr>
        <w:spacing w:before="0" w:after="0"/>
        <w:rPr>
          <w:sz w:val="22"/>
          <w:szCs w:val="22"/>
        </w:rPr>
      </w:pPr>
      <w:r>
        <w:rPr>
          <w:sz w:val="22"/>
          <w:szCs w:val="22"/>
        </w:rPr>
        <w:t>Richmond Valley, Bellingen and Coffs Harbour have a higher proportion of 5-14 year olds than the Rest of NSW average;</w:t>
      </w:r>
    </w:p>
    <w:p w14:paraId="487ABEE4" w14:textId="77777777" w:rsidR="0038693C" w:rsidRDefault="00055434" w:rsidP="0038693C">
      <w:pPr>
        <w:numPr>
          <w:ilvl w:val="1"/>
          <w:numId w:val="18"/>
        </w:numPr>
        <w:spacing w:before="0" w:after="0"/>
        <w:rPr>
          <w:sz w:val="22"/>
          <w:szCs w:val="22"/>
        </w:rPr>
      </w:pPr>
      <w:r>
        <w:rPr>
          <w:sz w:val="22"/>
          <w:szCs w:val="22"/>
        </w:rPr>
        <w:t>Byron has a higher proportion of 25-34, 35-44 and 45-54 year olds;</w:t>
      </w:r>
    </w:p>
    <w:p w14:paraId="27F9FEE8" w14:textId="77777777" w:rsidR="00055434" w:rsidRDefault="00055434" w:rsidP="0038693C">
      <w:pPr>
        <w:numPr>
          <w:ilvl w:val="1"/>
          <w:numId w:val="18"/>
        </w:numPr>
        <w:spacing w:before="0" w:after="0"/>
        <w:rPr>
          <w:sz w:val="22"/>
          <w:szCs w:val="22"/>
        </w:rPr>
      </w:pPr>
      <w:r>
        <w:rPr>
          <w:sz w:val="22"/>
          <w:szCs w:val="22"/>
        </w:rPr>
        <w:t>Coffs Harbour and Lismore also have a higher proportion of 35-44 year olds;</w:t>
      </w:r>
    </w:p>
    <w:p w14:paraId="3CB4C819" w14:textId="77777777" w:rsidR="00055434" w:rsidRDefault="00055434" w:rsidP="0038693C">
      <w:pPr>
        <w:numPr>
          <w:ilvl w:val="1"/>
          <w:numId w:val="18"/>
        </w:numPr>
        <w:spacing w:before="0" w:after="0"/>
        <w:rPr>
          <w:sz w:val="22"/>
          <w:szCs w:val="22"/>
        </w:rPr>
      </w:pPr>
      <w:r>
        <w:rPr>
          <w:sz w:val="22"/>
          <w:szCs w:val="22"/>
        </w:rPr>
        <w:t>Bellingen and Lismore also have a higher proportion of 45-54 year olds;</w:t>
      </w:r>
    </w:p>
    <w:p w14:paraId="7E6D3B4C" w14:textId="77777777" w:rsidR="0038693C" w:rsidRDefault="00055434" w:rsidP="00175B16">
      <w:pPr>
        <w:numPr>
          <w:ilvl w:val="0"/>
          <w:numId w:val="18"/>
        </w:numPr>
        <w:spacing w:before="0" w:after="0"/>
        <w:rPr>
          <w:sz w:val="22"/>
          <w:szCs w:val="22"/>
        </w:rPr>
      </w:pPr>
      <w:r>
        <w:rPr>
          <w:sz w:val="22"/>
          <w:szCs w:val="22"/>
        </w:rPr>
        <w:t>Kyogle, Bellingen and Nambucca Valley have the highest proportions of 55-64 and 65-74 year olds in the region.</w:t>
      </w:r>
    </w:p>
    <w:p w14:paraId="3F88D91B" w14:textId="77777777" w:rsidR="00055434" w:rsidRDefault="00055434" w:rsidP="00175B16">
      <w:pPr>
        <w:numPr>
          <w:ilvl w:val="0"/>
          <w:numId w:val="18"/>
        </w:numPr>
        <w:spacing w:before="0" w:after="0"/>
        <w:rPr>
          <w:sz w:val="22"/>
          <w:szCs w:val="22"/>
        </w:rPr>
      </w:pPr>
      <w:r>
        <w:rPr>
          <w:sz w:val="22"/>
          <w:szCs w:val="22"/>
        </w:rPr>
        <w:t xml:space="preserve">Port Macquarie-Hastings, </w:t>
      </w:r>
      <w:r w:rsidR="00F82187">
        <w:rPr>
          <w:sz w:val="22"/>
          <w:szCs w:val="22"/>
        </w:rPr>
        <w:t>Clarence Valley and Tweed have the highest proportion of 75-84 year olds.</w:t>
      </w:r>
    </w:p>
    <w:p w14:paraId="7FFDBC71" w14:textId="77777777" w:rsidR="00F82187" w:rsidRDefault="00F82187" w:rsidP="003366A9">
      <w:pPr>
        <w:numPr>
          <w:ilvl w:val="0"/>
          <w:numId w:val="18"/>
        </w:numPr>
        <w:spacing w:before="0" w:after="0"/>
        <w:rPr>
          <w:sz w:val="22"/>
          <w:szCs w:val="22"/>
        </w:rPr>
      </w:pPr>
      <w:r w:rsidRPr="00F82187">
        <w:rPr>
          <w:sz w:val="22"/>
          <w:szCs w:val="22"/>
        </w:rPr>
        <w:t>Ballina, Port Macquarie</w:t>
      </w:r>
      <w:r>
        <w:rPr>
          <w:sz w:val="22"/>
          <w:szCs w:val="22"/>
        </w:rPr>
        <w:t>-Hastings and Tweed have the highest proportion of 85+ year olds in the North Coast.</w:t>
      </w:r>
      <w:r w:rsidRPr="00F82187">
        <w:rPr>
          <w:sz w:val="22"/>
          <w:szCs w:val="22"/>
        </w:rPr>
        <w:t xml:space="preserve"> </w:t>
      </w:r>
    </w:p>
    <w:p w14:paraId="443340DF" w14:textId="77777777" w:rsidR="00175B16" w:rsidRPr="00175B16" w:rsidRDefault="002A3B6A" w:rsidP="00175B16">
      <w:pPr>
        <w:numPr>
          <w:ilvl w:val="0"/>
          <w:numId w:val="18"/>
        </w:numPr>
        <w:spacing w:before="0" w:after="0"/>
        <w:rPr>
          <w:sz w:val="22"/>
          <w:szCs w:val="22"/>
        </w:rPr>
      </w:pPr>
      <w:r>
        <w:rPr>
          <w:sz w:val="22"/>
          <w:szCs w:val="22"/>
        </w:rPr>
        <w:lastRenderedPageBreak/>
        <w:t xml:space="preserve">The Department of </w:t>
      </w:r>
      <w:r w:rsidR="00F82187">
        <w:rPr>
          <w:sz w:val="22"/>
          <w:szCs w:val="22"/>
        </w:rPr>
        <w:t xml:space="preserve">Planning </w:t>
      </w:r>
      <w:r>
        <w:rPr>
          <w:sz w:val="22"/>
          <w:szCs w:val="22"/>
        </w:rPr>
        <w:t>and Environment</w:t>
      </w:r>
      <w:r w:rsidR="00175B16" w:rsidRPr="00175B16">
        <w:rPr>
          <w:sz w:val="22"/>
          <w:szCs w:val="22"/>
        </w:rPr>
        <w:t xml:space="preserve"> forecast a strong increase in residents aged over 65 to 20</w:t>
      </w:r>
      <w:r w:rsidR="00F82187">
        <w:rPr>
          <w:sz w:val="22"/>
          <w:szCs w:val="22"/>
        </w:rPr>
        <w:t>41</w:t>
      </w:r>
      <w:r w:rsidR="00175B16" w:rsidRPr="00175B16">
        <w:rPr>
          <w:sz w:val="22"/>
          <w:szCs w:val="22"/>
        </w:rPr>
        <w:t xml:space="preserve"> across all the LGAs in the North Coast. </w:t>
      </w:r>
    </w:p>
    <w:p w14:paraId="7D4C94BB" w14:textId="77777777" w:rsidR="00E67D99" w:rsidRDefault="00175B16" w:rsidP="00175B16">
      <w:pPr>
        <w:numPr>
          <w:ilvl w:val="0"/>
          <w:numId w:val="18"/>
        </w:numPr>
        <w:spacing w:before="0" w:after="0"/>
        <w:rPr>
          <w:sz w:val="22"/>
          <w:szCs w:val="22"/>
        </w:rPr>
      </w:pPr>
      <w:r w:rsidRPr="00175B16">
        <w:rPr>
          <w:sz w:val="22"/>
          <w:szCs w:val="22"/>
        </w:rPr>
        <w:t>The diversity of age groups requires a range of different housing to meet the needs of the community throughout the housing life cycle. However the higher median age and higher proportions of older age cohorts indicates that there is a need for housing to suit older residents, in particular.</w:t>
      </w:r>
    </w:p>
    <w:p w14:paraId="7DF2D572" w14:textId="77777777" w:rsidR="00E67D99" w:rsidRDefault="00E67D99" w:rsidP="00175B16">
      <w:pPr>
        <w:numPr>
          <w:ilvl w:val="0"/>
          <w:numId w:val="18"/>
        </w:numPr>
        <w:spacing w:before="0" w:after="0"/>
        <w:rPr>
          <w:sz w:val="22"/>
          <w:szCs w:val="22"/>
        </w:rPr>
      </w:pPr>
      <w:r>
        <w:rPr>
          <w:sz w:val="22"/>
          <w:szCs w:val="22"/>
        </w:rPr>
        <w:t>As the Australian Institute for Health and Welfare (AIHW) note:</w:t>
      </w:r>
    </w:p>
    <w:p w14:paraId="67F37F02" w14:textId="77777777" w:rsidR="00E67D99" w:rsidRPr="00E67D99" w:rsidRDefault="00E67D99" w:rsidP="00E67D99">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035C4EAA" w14:textId="77777777" w:rsidR="00E67D99" w:rsidRPr="00E67D99" w:rsidRDefault="00E67D99" w:rsidP="00E67D99">
      <w:pPr>
        <w:numPr>
          <w:ilvl w:val="1"/>
          <w:numId w:val="18"/>
        </w:numPr>
        <w:spacing w:before="0" w:after="0"/>
        <w:rPr>
          <w:sz w:val="22"/>
          <w:szCs w:val="22"/>
        </w:rPr>
      </w:pPr>
      <w:r w:rsidRPr="00E67D99">
        <w:rPr>
          <w:sz w:val="22"/>
          <w:szCs w:val="22"/>
        </w:rPr>
        <w:t>the appropriateness and quality of their home (for example, size, layout)</w:t>
      </w:r>
    </w:p>
    <w:p w14:paraId="0742888F" w14:textId="77777777" w:rsidR="00E67D99" w:rsidRPr="00E67D99" w:rsidRDefault="00E67D99" w:rsidP="00E67D99">
      <w:pPr>
        <w:numPr>
          <w:ilvl w:val="1"/>
          <w:numId w:val="18"/>
        </w:numPr>
        <w:spacing w:before="0" w:after="0"/>
        <w:rPr>
          <w:sz w:val="22"/>
          <w:szCs w:val="22"/>
        </w:rPr>
      </w:pPr>
      <w:r w:rsidRPr="00E67D99">
        <w:rPr>
          <w:sz w:val="22"/>
          <w:szCs w:val="22"/>
        </w:rPr>
        <w:t>their ability to modify their home to suit their functional requirements</w:t>
      </w:r>
    </w:p>
    <w:p w14:paraId="1E7D7D4A" w14:textId="77777777" w:rsidR="00E67D99" w:rsidRPr="00E67D99" w:rsidRDefault="00E67D99" w:rsidP="00E67D99">
      <w:pPr>
        <w:numPr>
          <w:ilvl w:val="1"/>
          <w:numId w:val="18"/>
        </w:numPr>
        <w:spacing w:before="0" w:after="0"/>
        <w:rPr>
          <w:sz w:val="22"/>
          <w:szCs w:val="22"/>
        </w:rPr>
      </w:pPr>
      <w:r w:rsidRPr="00E67D99">
        <w:rPr>
          <w:sz w:val="22"/>
          <w:szCs w:val="22"/>
        </w:rPr>
        <w:t>the cost and availability of suitable housing</w:t>
      </w:r>
    </w:p>
    <w:p w14:paraId="4F3C4138" w14:textId="77777777" w:rsidR="00E67D99" w:rsidRPr="00E67D99" w:rsidRDefault="00E67D99" w:rsidP="00E67D99">
      <w:pPr>
        <w:numPr>
          <w:ilvl w:val="1"/>
          <w:numId w:val="18"/>
        </w:numPr>
        <w:spacing w:before="0" w:after="0"/>
        <w:rPr>
          <w:sz w:val="22"/>
          <w:szCs w:val="22"/>
        </w:rPr>
      </w:pPr>
      <w:r w:rsidRPr="00E67D99">
        <w:rPr>
          <w:sz w:val="22"/>
          <w:szCs w:val="22"/>
        </w:rPr>
        <w:t>their need for formal care and assistance</w:t>
      </w:r>
    </w:p>
    <w:p w14:paraId="559EEA2B" w14:textId="77777777" w:rsidR="00E67D99" w:rsidRPr="00E67D99" w:rsidRDefault="00E67D99" w:rsidP="00DC09EC">
      <w:pPr>
        <w:numPr>
          <w:ilvl w:val="1"/>
          <w:numId w:val="18"/>
        </w:numPr>
        <w:spacing w:before="0" w:after="0"/>
        <w:rPr>
          <w:sz w:val="22"/>
          <w:szCs w:val="22"/>
        </w:rPr>
      </w:pPr>
      <w:r w:rsidRPr="00E67D99">
        <w:rPr>
          <w:sz w:val="22"/>
          <w:szCs w:val="22"/>
        </w:rPr>
        <w:t>their proximity to services and social support.</w:t>
      </w:r>
      <w:r w:rsidR="00175B16" w:rsidRPr="00E67D99">
        <w:rPr>
          <w:sz w:val="22"/>
          <w:szCs w:val="22"/>
        </w:rPr>
        <w:t xml:space="preserve">  </w:t>
      </w:r>
    </w:p>
    <w:p w14:paraId="4C8A51E1" w14:textId="77777777" w:rsidR="00175B16" w:rsidRPr="00175B16" w:rsidRDefault="00175B16" w:rsidP="00130EE1">
      <w:pPr>
        <w:numPr>
          <w:ilvl w:val="0"/>
          <w:numId w:val="18"/>
        </w:numPr>
        <w:spacing w:before="0" w:after="0"/>
        <w:rPr>
          <w:sz w:val="22"/>
          <w:szCs w:val="22"/>
        </w:rPr>
      </w:pPr>
      <w:r w:rsidRPr="00175B16">
        <w:rPr>
          <w:sz w:val="22"/>
          <w:szCs w:val="22"/>
        </w:rPr>
        <w:t xml:space="preserve">Although the majority of older Australians own their own home, </w:t>
      </w:r>
      <w:r w:rsidR="00E67D99">
        <w:rPr>
          <w:sz w:val="22"/>
          <w:szCs w:val="22"/>
        </w:rPr>
        <w:t>this number is declining.  A</w:t>
      </w:r>
      <w:r w:rsidRPr="00175B16">
        <w:rPr>
          <w:sz w:val="22"/>
          <w:szCs w:val="22"/>
        </w:rPr>
        <w:t>bout 15% of older Australians are renters</w:t>
      </w:r>
      <w:r w:rsidR="00E67D99">
        <w:rPr>
          <w:sz w:val="22"/>
          <w:szCs w:val="22"/>
        </w:rPr>
        <w:t>.</w:t>
      </w:r>
      <w:r w:rsidRPr="00175B16">
        <w:rPr>
          <w:sz w:val="22"/>
          <w:szCs w:val="22"/>
        </w:rPr>
        <w:t xml:space="preserve"> </w:t>
      </w:r>
      <w:r w:rsidR="00E67D99">
        <w:rPr>
          <w:sz w:val="22"/>
          <w:szCs w:val="22"/>
        </w:rPr>
        <w:t>T</w:t>
      </w:r>
      <w:r w:rsidRPr="00175B16">
        <w:rPr>
          <w:sz w:val="22"/>
          <w:szCs w:val="22"/>
        </w:rPr>
        <w:t>hese people are generally a highly vulnerable and economically disadvantaged group</w:t>
      </w:r>
      <w:r w:rsidR="00E67D99">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sidR="009971B3">
        <w:rPr>
          <w:sz w:val="22"/>
          <w:szCs w:val="22"/>
        </w:rPr>
        <w:t xml:space="preserve">  </w:t>
      </w:r>
      <w:r w:rsidR="009971B3" w:rsidRPr="00841E54">
        <w:rPr>
          <w:sz w:val="22"/>
          <w:szCs w:val="22"/>
        </w:rPr>
        <w:t>(Source:  "Housing Decisions of Older Australians" Productivity Commission December 2015</w:t>
      </w:r>
      <w:r w:rsidR="009971B3">
        <w:rPr>
          <w:sz w:val="20"/>
          <w:szCs w:val="20"/>
        </w:rPr>
        <w:t>)</w:t>
      </w:r>
      <w:r w:rsidR="009971B3" w:rsidRPr="00251AA5">
        <w:rPr>
          <w:sz w:val="20"/>
          <w:szCs w:val="20"/>
        </w:rPr>
        <w:t>.</w:t>
      </w:r>
    </w:p>
    <w:p w14:paraId="717411E8" w14:textId="77777777" w:rsidR="00175B16" w:rsidRPr="00175B16" w:rsidRDefault="00175B16" w:rsidP="00175B16">
      <w:pPr>
        <w:numPr>
          <w:ilvl w:val="0"/>
          <w:numId w:val="18"/>
        </w:numPr>
        <w:spacing w:before="0" w:after="0"/>
        <w:rPr>
          <w:sz w:val="22"/>
          <w:szCs w:val="22"/>
        </w:rPr>
      </w:pPr>
      <w:r w:rsidRPr="00175B16">
        <w:rPr>
          <w:sz w:val="22"/>
          <w:szCs w:val="22"/>
        </w:rPr>
        <w:t xml:space="preserve">The graph </w:t>
      </w:r>
      <w:r w:rsidR="000D6019">
        <w:rPr>
          <w:sz w:val="22"/>
          <w:szCs w:val="22"/>
        </w:rPr>
        <w:t xml:space="preserve">and table </w:t>
      </w:r>
      <w:r w:rsidRPr="00175B16">
        <w:rPr>
          <w:sz w:val="22"/>
          <w:szCs w:val="22"/>
        </w:rPr>
        <w:t xml:space="preserve">below show the proportion of the population in each key age cohort in Ballina, Bellingen, Byron, Clarence Valley, Coffs Harbour, Kempsey, Kyogle, Lismore, Nambucca, Port-Macquarie Hastings, Richmond Valley and Tweed, compared with the </w:t>
      </w:r>
      <w:r w:rsidR="00F82187">
        <w:rPr>
          <w:sz w:val="22"/>
          <w:szCs w:val="22"/>
        </w:rPr>
        <w:t xml:space="preserve">total for the North Coast and the </w:t>
      </w:r>
      <w:r w:rsidRPr="00175B16">
        <w:rPr>
          <w:sz w:val="22"/>
          <w:szCs w:val="22"/>
        </w:rPr>
        <w:t>Rest of NSW.</w:t>
      </w:r>
    </w:p>
    <w:p w14:paraId="0CDFE413" w14:textId="77777777" w:rsidR="00175B16" w:rsidRPr="00424CD2" w:rsidRDefault="00175B16" w:rsidP="00175B16">
      <w:pPr>
        <w:rPr>
          <w:szCs w:val="22"/>
        </w:rPr>
      </w:pPr>
    </w:p>
    <w:p w14:paraId="043D6ADF" w14:textId="77777777" w:rsidR="00175B16" w:rsidRDefault="006C62B0" w:rsidP="00175B16">
      <w:pPr>
        <w:rPr>
          <w:b/>
          <w:color w:val="008000"/>
          <w:sz w:val="32"/>
        </w:rPr>
      </w:pPr>
      <w:r>
        <w:rPr>
          <w:b/>
          <w:noProof/>
          <w:color w:val="008000"/>
          <w:sz w:val="32"/>
        </w:rPr>
        <w:drawing>
          <wp:inline distT="0" distB="0" distL="0" distR="0" wp14:anchorId="56EE95BA" wp14:editId="19F2D624">
            <wp:extent cx="6081528" cy="3134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972" cy="3138712"/>
                    </a:xfrm>
                    <a:prstGeom prst="rect">
                      <a:avLst/>
                    </a:prstGeom>
                    <a:noFill/>
                  </pic:spPr>
                </pic:pic>
              </a:graphicData>
            </a:graphic>
          </wp:inline>
        </w:drawing>
      </w:r>
    </w:p>
    <w:p w14:paraId="4339A8CE" w14:textId="77777777" w:rsidR="000D6019" w:rsidRDefault="000D6019" w:rsidP="00175B16">
      <w:pPr>
        <w:rPr>
          <w:sz w:val="22"/>
          <w:szCs w:val="22"/>
        </w:rPr>
      </w:pPr>
      <w:r w:rsidRPr="000D6019">
        <w:rPr>
          <w:noProof/>
        </w:rPr>
        <w:lastRenderedPageBreak/>
        <w:drawing>
          <wp:inline distT="0" distB="0" distL="0" distR="0" wp14:anchorId="140DE731" wp14:editId="746AFA8B">
            <wp:extent cx="6070838" cy="28956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5001" cy="2907125"/>
                    </a:xfrm>
                    <a:prstGeom prst="rect">
                      <a:avLst/>
                    </a:prstGeom>
                    <a:noFill/>
                    <a:ln>
                      <a:noFill/>
                    </a:ln>
                  </pic:spPr>
                </pic:pic>
              </a:graphicData>
            </a:graphic>
          </wp:inline>
        </w:drawing>
      </w:r>
    </w:p>
    <w:p w14:paraId="160DBEBB" w14:textId="77777777" w:rsidR="00F05318" w:rsidRDefault="00F05318" w:rsidP="00175B16">
      <w:pPr>
        <w:rPr>
          <w:b/>
          <w:color w:val="008000"/>
          <w:sz w:val="32"/>
        </w:rPr>
      </w:pPr>
    </w:p>
    <w:p w14:paraId="285AC1E2" w14:textId="77777777" w:rsidR="00175B16" w:rsidRPr="001C58F3" w:rsidRDefault="00175B16" w:rsidP="00175B16">
      <w:pPr>
        <w:rPr>
          <w:b/>
          <w:color w:val="008000"/>
          <w:sz w:val="32"/>
        </w:rPr>
      </w:pPr>
      <w:r w:rsidRPr="001C58F3">
        <w:rPr>
          <w:b/>
          <w:color w:val="008000"/>
          <w:sz w:val="32"/>
        </w:rPr>
        <w:t>H</w:t>
      </w:r>
      <w:r>
        <w:rPr>
          <w:b/>
          <w:color w:val="008000"/>
          <w:sz w:val="32"/>
        </w:rPr>
        <w:t>ousehold Type</w:t>
      </w:r>
    </w:p>
    <w:p w14:paraId="3CCCCC8D" w14:textId="77777777" w:rsidR="001E6837" w:rsidRDefault="001E6837" w:rsidP="001E6837">
      <w:pPr>
        <w:numPr>
          <w:ilvl w:val="0"/>
          <w:numId w:val="18"/>
        </w:numPr>
        <w:spacing w:before="0" w:after="0"/>
        <w:rPr>
          <w:sz w:val="22"/>
          <w:szCs w:val="22"/>
        </w:rPr>
      </w:pPr>
      <w:r>
        <w:rPr>
          <w:sz w:val="22"/>
          <w:szCs w:val="22"/>
        </w:rPr>
        <w:t xml:space="preserve">A look at household types gives some insight into the type of housing – particularly number of bedrooms – that is likely to be appropriate to meet the housing needs of the community. </w:t>
      </w:r>
    </w:p>
    <w:p w14:paraId="17D001B6" w14:textId="77777777" w:rsidR="00C1712F" w:rsidRDefault="008979E0" w:rsidP="00175B16">
      <w:pPr>
        <w:numPr>
          <w:ilvl w:val="0"/>
          <w:numId w:val="18"/>
        </w:numPr>
        <w:spacing w:before="0" w:after="0"/>
        <w:rPr>
          <w:sz w:val="22"/>
          <w:szCs w:val="22"/>
        </w:rPr>
      </w:pPr>
      <w:r>
        <w:rPr>
          <w:sz w:val="22"/>
          <w:szCs w:val="22"/>
        </w:rPr>
        <w:t>Household types in the North Coast differ from the average for the Rest of NSW.</w:t>
      </w:r>
      <w:r w:rsidR="005627C1">
        <w:rPr>
          <w:sz w:val="22"/>
          <w:szCs w:val="22"/>
        </w:rPr>
        <w:t xml:space="preserve">  </w:t>
      </w:r>
    </w:p>
    <w:p w14:paraId="21DE5758" w14:textId="77777777" w:rsidR="008979E0" w:rsidRDefault="005627C1" w:rsidP="00175B16">
      <w:pPr>
        <w:numPr>
          <w:ilvl w:val="0"/>
          <w:numId w:val="18"/>
        </w:numPr>
        <w:spacing w:before="0" w:after="0"/>
        <w:rPr>
          <w:sz w:val="22"/>
          <w:szCs w:val="22"/>
        </w:rPr>
      </w:pPr>
      <w:r>
        <w:rPr>
          <w:sz w:val="22"/>
          <w:szCs w:val="22"/>
        </w:rPr>
        <w:t>On the North Coast, couple families wi</w:t>
      </w:r>
      <w:r w:rsidR="00105477">
        <w:rPr>
          <w:sz w:val="22"/>
          <w:szCs w:val="22"/>
        </w:rPr>
        <w:t>thout</w:t>
      </w:r>
      <w:r>
        <w:rPr>
          <w:sz w:val="22"/>
          <w:szCs w:val="22"/>
        </w:rPr>
        <w:t xml:space="preserve"> children are the most common household type, followed by lone person households, with both single parent household and other household types being more prevalent than in the Rest of NSW.  In the Rest of NSW, couple </w:t>
      </w:r>
      <w:r w:rsidR="00105477">
        <w:rPr>
          <w:sz w:val="22"/>
          <w:szCs w:val="22"/>
        </w:rPr>
        <w:t>families with children</w:t>
      </w:r>
      <w:r>
        <w:rPr>
          <w:sz w:val="22"/>
          <w:szCs w:val="22"/>
        </w:rPr>
        <w:t xml:space="preserve"> households are the largest household type.</w:t>
      </w:r>
    </w:p>
    <w:p w14:paraId="69C99598" w14:textId="77777777" w:rsidR="004F13F1" w:rsidRDefault="004F13F1" w:rsidP="00175B16">
      <w:pPr>
        <w:numPr>
          <w:ilvl w:val="0"/>
          <w:numId w:val="18"/>
        </w:numPr>
        <w:spacing w:before="0" w:after="0"/>
        <w:rPr>
          <w:sz w:val="22"/>
          <w:szCs w:val="22"/>
        </w:rPr>
      </w:pPr>
      <w:r>
        <w:rPr>
          <w:sz w:val="22"/>
          <w:szCs w:val="22"/>
        </w:rPr>
        <w:t xml:space="preserve">At the 2021 Census, all the North Coast region LGAs have a </w:t>
      </w:r>
      <w:r w:rsidRPr="004F13F1">
        <w:rPr>
          <w:b/>
          <w:sz w:val="22"/>
          <w:szCs w:val="22"/>
        </w:rPr>
        <w:t>higher</w:t>
      </w:r>
      <w:r>
        <w:rPr>
          <w:sz w:val="22"/>
          <w:szCs w:val="22"/>
        </w:rPr>
        <w:t xml:space="preserve"> proportion of couple families with</w:t>
      </w:r>
      <w:r w:rsidR="00105477">
        <w:rPr>
          <w:sz w:val="22"/>
          <w:szCs w:val="22"/>
        </w:rPr>
        <w:t>out</w:t>
      </w:r>
      <w:r>
        <w:rPr>
          <w:sz w:val="22"/>
          <w:szCs w:val="22"/>
        </w:rPr>
        <w:t xml:space="preserve"> children than the average for the Rest of NSW of 25.0%, with the exception of both Byron and Lismore.  At 2021, the proportion of couple families with</w:t>
      </w:r>
      <w:r w:rsidR="00105477">
        <w:rPr>
          <w:sz w:val="22"/>
          <w:szCs w:val="22"/>
        </w:rPr>
        <w:t>out</w:t>
      </w:r>
      <w:r>
        <w:rPr>
          <w:sz w:val="22"/>
          <w:szCs w:val="22"/>
        </w:rPr>
        <w:t xml:space="preserve"> children in the North Coast LGAs ranged from 23.6% in Byron to 31.9% in Port Macquarie-Hastings.</w:t>
      </w:r>
    </w:p>
    <w:p w14:paraId="757CE51F" w14:textId="77777777" w:rsidR="00C1712F" w:rsidRDefault="00007FCD" w:rsidP="00E16598">
      <w:pPr>
        <w:numPr>
          <w:ilvl w:val="0"/>
          <w:numId w:val="18"/>
        </w:numPr>
        <w:spacing w:before="0" w:after="0"/>
        <w:rPr>
          <w:sz w:val="22"/>
          <w:szCs w:val="22"/>
        </w:rPr>
      </w:pPr>
      <w:r w:rsidRPr="00C1712F">
        <w:rPr>
          <w:sz w:val="22"/>
          <w:szCs w:val="22"/>
        </w:rPr>
        <w:t>While couple only households are the largest household type in the Rest of NSW, comprising 30.8% of all households – every LGA on the North Coast had a much lower proportion of this household type (ranging from just 17.2% in Kyogle to 23.8% in Coffs Harbour).</w:t>
      </w:r>
      <w:r w:rsidR="00B651AD" w:rsidRPr="00C1712F">
        <w:rPr>
          <w:sz w:val="22"/>
          <w:szCs w:val="22"/>
        </w:rPr>
        <w:t xml:space="preserve">  </w:t>
      </w:r>
    </w:p>
    <w:p w14:paraId="536ECE99" w14:textId="77777777" w:rsidR="00B651AD" w:rsidRPr="00C1712F" w:rsidRDefault="00B651AD" w:rsidP="00E16598">
      <w:pPr>
        <w:numPr>
          <w:ilvl w:val="0"/>
          <w:numId w:val="18"/>
        </w:numPr>
        <w:spacing w:before="0" w:after="0"/>
        <w:rPr>
          <w:sz w:val="22"/>
          <w:szCs w:val="22"/>
        </w:rPr>
      </w:pPr>
      <w:r w:rsidRPr="00C1712F">
        <w:rPr>
          <w:sz w:val="22"/>
          <w:szCs w:val="22"/>
        </w:rPr>
        <w:t xml:space="preserve">One parent families are more common in North Coast LGAs than for the Rest of NSW generally (ranging from </w:t>
      </w:r>
      <w:r w:rsidR="003171AF" w:rsidRPr="00C1712F">
        <w:rPr>
          <w:sz w:val="22"/>
          <w:szCs w:val="22"/>
        </w:rPr>
        <w:t>13.1% in Lismore to 10.5% in Port Macquarie-Hastings, compared to 10.6% in the Rest of NSW).</w:t>
      </w:r>
    </w:p>
    <w:p w14:paraId="5CF892A1" w14:textId="77777777" w:rsidR="00781754" w:rsidRDefault="008979E0" w:rsidP="00DD70CF">
      <w:pPr>
        <w:numPr>
          <w:ilvl w:val="0"/>
          <w:numId w:val="18"/>
        </w:numPr>
        <w:spacing w:before="0" w:after="0"/>
        <w:rPr>
          <w:sz w:val="22"/>
          <w:szCs w:val="22"/>
        </w:rPr>
      </w:pPr>
      <w:r w:rsidRPr="00781754">
        <w:rPr>
          <w:sz w:val="22"/>
          <w:szCs w:val="22"/>
        </w:rPr>
        <w:t>There are significantly higher proportions of lone person households on the North Coast compared to the average for the Rest of NSW – ranging from 30.1% in Nambucca Valley to 23.6% in Byron, with 23.7% in the Rest of NSW.</w:t>
      </w:r>
      <w:r w:rsidR="006D4DA1" w:rsidRPr="00781754">
        <w:rPr>
          <w:sz w:val="22"/>
          <w:szCs w:val="22"/>
        </w:rPr>
        <w:t xml:space="preserve">  This is the second largest household type on the North Coast, averaging 26.7% of all households.</w:t>
      </w:r>
    </w:p>
    <w:p w14:paraId="471E1C87" w14:textId="77777777" w:rsidR="008979E0" w:rsidRPr="00781754" w:rsidRDefault="005627C1" w:rsidP="00DD70CF">
      <w:pPr>
        <w:numPr>
          <w:ilvl w:val="0"/>
          <w:numId w:val="18"/>
        </w:numPr>
        <w:spacing w:before="0" w:after="0"/>
        <w:rPr>
          <w:sz w:val="22"/>
          <w:szCs w:val="22"/>
        </w:rPr>
      </w:pPr>
      <w:r w:rsidRPr="00781754">
        <w:rPr>
          <w:sz w:val="22"/>
          <w:szCs w:val="22"/>
        </w:rPr>
        <w:lastRenderedPageBreak/>
        <w:t>Other households comprise between 11.6% of all households in Byron and 4.9% in Port Macquarie-Hastings</w:t>
      </w:r>
      <w:r w:rsidR="00486083" w:rsidRPr="00781754">
        <w:rPr>
          <w:sz w:val="22"/>
          <w:szCs w:val="22"/>
        </w:rPr>
        <w:t>, or 7.5% on average across the region</w:t>
      </w:r>
      <w:r w:rsidRPr="00781754">
        <w:rPr>
          <w:sz w:val="22"/>
          <w:szCs w:val="22"/>
        </w:rPr>
        <w:t xml:space="preserve"> compared to </w:t>
      </w:r>
      <w:r w:rsidR="00486083" w:rsidRPr="00781754">
        <w:rPr>
          <w:sz w:val="22"/>
          <w:szCs w:val="22"/>
        </w:rPr>
        <w:t>5.2% in the Rest of NSW.</w:t>
      </w:r>
    </w:p>
    <w:p w14:paraId="6939526A" w14:textId="77777777" w:rsidR="00175B16" w:rsidRPr="00175B16" w:rsidRDefault="00175B16" w:rsidP="00175B16">
      <w:pPr>
        <w:numPr>
          <w:ilvl w:val="0"/>
          <w:numId w:val="18"/>
        </w:numPr>
        <w:spacing w:before="0" w:after="0"/>
        <w:rPr>
          <w:sz w:val="22"/>
          <w:szCs w:val="22"/>
        </w:rPr>
      </w:pPr>
      <w:r w:rsidRPr="00175B16">
        <w:rPr>
          <w:sz w:val="22"/>
          <w:szCs w:val="22"/>
        </w:rPr>
        <w:t>Group households comprise 3.</w:t>
      </w:r>
      <w:r w:rsidR="00486083">
        <w:rPr>
          <w:sz w:val="22"/>
          <w:szCs w:val="22"/>
        </w:rPr>
        <w:t>7</w:t>
      </w:r>
      <w:r w:rsidRPr="00175B16">
        <w:rPr>
          <w:sz w:val="22"/>
          <w:szCs w:val="22"/>
        </w:rPr>
        <w:t>% of all households in the Rest of NSW</w:t>
      </w:r>
      <w:r w:rsidR="00486083">
        <w:rPr>
          <w:sz w:val="22"/>
          <w:szCs w:val="22"/>
        </w:rPr>
        <w:t>, 3.5% on average</w:t>
      </w:r>
      <w:r w:rsidRPr="00175B16">
        <w:rPr>
          <w:sz w:val="22"/>
          <w:szCs w:val="22"/>
        </w:rPr>
        <w:t xml:space="preserve"> in North Coast</w:t>
      </w:r>
      <w:r w:rsidR="00486083">
        <w:rPr>
          <w:sz w:val="22"/>
          <w:szCs w:val="22"/>
        </w:rPr>
        <w:t>, ranging between 7.9% in Byron and 2.6% in Richmond Valley.</w:t>
      </w:r>
      <w:r w:rsidRPr="00175B16">
        <w:rPr>
          <w:sz w:val="22"/>
          <w:szCs w:val="22"/>
        </w:rPr>
        <w:t xml:space="preserve"> </w:t>
      </w:r>
    </w:p>
    <w:p w14:paraId="571B9183" w14:textId="77777777" w:rsidR="00175B16" w:rsidRPr="00175B16" w:rsidRDefault="00175B16" w:rsidP="00175B16">
      <w:pPr>
        <w:numPr>
          <w:ilvl w:val="0"/>
          <w:numId w:val="18"/>
        </w:numPr>
        <w:spacing w:before="0" w:after="0"/>
        <w:rPr>
          <w:sz w:val="22"/>
          <w:szCs w:val="22"/>
        </w:rPr>
      </w:pPr>
      <w:r w:rsidRPr="00175B16">
        <w:rPr>
          <w:sz w:val="22"/>
          <w:szCs w:val="22"/>
        </w:rPr>
        <w:t xml:space="preserve">The graph </w:t>
      </w:r>
      <w:r w:rsidR="008B455D">
        <w:rPr>
          <w:sz w:val="22"/>
          <w:szCs w:val="22"/>
        </w:rPr>
        <w:t xml:space="preserve">and table </w:t>
      </w:r>
      <w:r w:rsidRPr="00175B16">
        <w:rPr>
          <w:sz w:val="22"/>
          <w:szCs w:val="22"/>
        </w:rPr>
        <w:t>below show the proportion in each key household type for every North Coast region LGA and Rest of NSW (excluding Sydney) at 20</w:t>
      </w:r>
      <w:r w:rsidR="008B455D">
        <w:rPr>
          <w:sz w:val="22"/>
          <w:szCs w:val="22"/>
        </w:rPr>
        <w:t>21</w:t>
      </w:r>
      <w:r w:rsidRPr="00175B16">
        <w:rPr>
          <w:sz w:val="22"/>
          <w:szCs w:val="22"/>
        </w:rPr>
        <w:t>.</w:t>
      </w:r>
    </w:p>
    <w:p w14:paraId="57AA22BC" w14:textId="77777777" w:rsidR="00175B16" w:rsidRDefault="00105477" w:rsidP="00175B16">
      <w:pPr>
        <w:rPr>
          <w:sz w:val="20"/>
          <w:szCs w:val="20"/>
        </w:rPr>
      </w:pPr>
      <w:r>
        <w:rPr>
          <w:noProof/>
          <w:sz w:val="20"/>
          <w:szCs w:val="20"/>
        </w:rPr>
        <w:drawing>
          <wp:inline distT="0" distB="0" distL="0" distR="0" wp14:anchorId="471AAC18" wp14:editId="6548E976">
            <wp:extent cx="5854065" cy="32531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4191" cy="3308745"/>
                    </a:xfrm>
                    <a:prstGeom prst="rect">
                      <a:avLst/>
                    </a:prstGeom>
                    <a:noFill/>
                  </pic:spPr>
                </pic:pic>
              </a:graphicData>
            </a:graphic>
          </wp:inline>
        </w:drawing>
      </w:r>
    </w:p>
    <w:p w14:paraId="35035F76" w14:textId="77777777" w:rsidR="008B455D" w:rsidRDefault="00B54F04" w:rsidP="00175B16">
      <w:pPr>
        <w:rPr>
          <w:sz w:val="20"/>
          <w:szCs w:val="20"/>
        </w:rPr>
      </w:pPr>
      <w:r w:rsidRPr="00B54F04">
        <w:rPr>
          <w:noProof/>
        </w:rPr>
        <w:drawing>
          <wp:inline distT="0" distB="0" distL="0" distR="0" wp14:anchorId="39313E6A" wp14:editId="31344D96">
            <wp:extent cx="5274310" cy="341866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418661"/>
                    </a:xfrm>
                    <a:prstGeom prst="rect">
                      <a:avLst/>
                    </a:prstGeom>
                    <a:noFill/>
                    <a:ln>
                      <a:noFill/>
                    </a:ln>
                  </pic:spPr>
                </pic:pic>
              </a:graphicData>
            </a:graphic>
          </wp:inline>
        </w:drawing>
      </w:r>
    </w:p>
    <w:p w14:paraId="5D72118D" w14:textId="77777777" w:rsidR="00175B16" w:rsidRPr="00781754" w:rsidRDefault="00103865" w:rsidP="00F96365">
      <w:pPr>
        <w:numPr>
          <w:ilvl w:val="0"/>
          <w:numId w:val="18"/>
        </w:numPr>
        <w:spacing w:before="0" w:after="0"/>
        <w:rPr>
          <w:b/>
          <w:color w:val="008000"/>
          <w:sz w:val="32"/>
        </w:rPr>
      </w:pPr>
      <w:r w:rsidRPr="00781754">
        <w:rPr>
          <w:sz w:val="22"/>
          <w:szCs w:val="22"/>
        </w:rPr>
        <w:lastRenderedPageBreak/>
        <w:t>This mix of household types s</w:t>
      </w:r>
      <w:r w:rsidR="008B455D" w:rsidRPr="00781754">
        <w:rPr>
          <w:sz w:val="22"/>
          <w:szCs w:val="22"/>
        </w:rPr>
        <w:t xml:space="preserve">uggests the need for a variety of housing, ensuring housing choice for a range of household types, including studio, one and two bedroom homes to suit smaller households.  </w:t>
      </w:r>
      <w:r w:rsidR="009B526A" w:rsidRPr="00781754">
        <w:rPr>
          <w:sz w:val="22"/>
          <w:szCs w:val="22"/>
        </w:rPr>
        <w:t>The provision of smaller more affordable dwellings is important given the significant number of lone person households on the North Coast.</w:t>
      </w:r>
    </w:p>
    <w:p w14:paraId="7C182656" w14:textId="77777777" w:rsidR="00781754" w:rsidRPr="00781754" w:rsidRDefault="00781754" w:rsidP="00781754">
      <w:pPr>
        <w:spacing w:before="0" w:after="0"/>
        <w:rPr>
          <w:color w:val="008000"/>
          <w:sz w:val="22"/>
          <w:szCs w:val="22"/>
        </w:rPr>
      </w:pPr>
    </w:p>
    <w:p w14:paraId="4583A275" w14:textId="77777777" w:rsidR="008B455D" w:rsidRDefault="008B455D" w:rsidP="00175B16">
      <w:pPr>
        <w:rPr>
          <w:b/>
          <w:color w:val="008000"/>
          <w:sz w:val="32"/>
        </w:rPr>
      </w:pPr>
    </w:p>
    <w:p w14:paraId="65FC4E06" w14:textId="77777777" w:rsidR="00175B16" w:rsidRPr="001C58F3" w:rsidRDefault="00175B16" w:rsidP="00175B16">
      <w:pPr>
        <w:rPr>
          <w:b/>
          <w:color w:val="008000"/>
          <w:sz w:val="32"/>
        </w:rPr>
      </w:pPr>
      <w:r w:rsidRPr="001C58F3">
        <w:rPr>
          <w:b/>
          <w:color w:val="008000"/>
          <w:sz w:val="32"/>
        </w:rPr>
        <w:t>H</w:t>
      </w:r>
      <w:r>
        <w:rPr>
          <w:b/>
          <w:color w:val="008000"/>
          <w:sz w:val="32"/>
        </w:rPr>
        <w:t>ousehold Size</w:t>
      </w:r>
    </w:p>
    <w:p w14:paraId="1B4A2F1F" w14:textId="77777777" w:rsidR="00C02253" w:rsidRDefault="00175B16" w:rsidP="00175B16">
      <w:pPr>
        <w:numPr>
          <w:ilvl w:val="0"/>
          <w:numId w:val="18"/>
        </w:numPr>
        <w:spacing w:before="0" w:after="0"/>
        <w:rPr>
          <w:sz w:val="22"/>
          <w:szCs w:val="22"/>
        </w:rPr>
      </w:pPr>
      <w:r w:rsidRPr="00175B16">
        <w:rPr>
          <w:sz w:val="22"/>
          <w:szCs w:val="22"/>
        </w:rPr>
        <w:t xml:space="preserve">All the North Coast region LGAs have an equal to or lower average household size than </w:t>
      </w:r>
      <w:r w:rsidR="00781754">
        <w:rPr>
          <w:sz w:val="22"/>
          <w:szCs w:val="22"/>
        </w:rPr>
        <w:t>the Rest of</w:t>
      </w:r>
      <w:r w:rsidRPr="00175B16">
        <w:rPr>
          <w:sz w:val="22"/>
          <w:szCs w:val="22"/>
        </w:rPr>
        <w:t xml:space="preserve"> NSW (2.4</w:t>
      </w:r>
      <w:r w:rsidR="00F77E2A">
        <w:rPr>
          <w:sz w:val="22"/>
          <w:szCs w:val="22"/>
        </w:rPr>
        <w:t xml:space="preserve"> persons per household</w:t>
      </w:r>
      <w:r w:rsidRPr="00175B16">
        <w:rPr>
          <w:sz w:val="22"/>
          <w:szCs w:val="22"/>
        </w:rPr>
        <w:t>)</w:t>
      </w:r>
      <w:r w:rsidR="00F77E2A">
        <w:rPr>
          <w:sz w:val="22"/>
          <w:szCs w:val="22"/>
        </w:rPr>
        <w:t>, with the exception of Byron (with a slightly larger average household size of 2.5)</w:t>
      </w:r>
      <w:r w:rsidRPr="00175B16">
        <w:rPr>
          <w:sz w:val="22"/>
          <w:szCs w:val="22"/>
        </w:rPr>
        <w:t xml:space="preserve">.  </w:t>
      </w:r>
    </w:p>
    <w:p w14:paraId="07FE842B" w14:textId="77777777" w:rsidR="00175B16" w:rsidRPr="00175B16" w:rsidRDefault="00175B16" w:rsidP="00175B16">
      <w:pPr>
        <w:numPr>
          <w:ilvl w:val="0"/>
          <w:numId w:val="18"/>
        </w:numPr>
        <w:spacing w:before="0" w:after="0"/>
        <w:rPr>
          <w:sz w:val="22"/>
          <w:szCs w:val="22"/>
        </w:rPr>
      </w:pPr>
      <w:r w:rsidRPr="00175B16">
        <w:rPr>
          <w:sz w:val="22"/>
          <w:szCs w:val="22"/>
        </w:rPr>
        <w:t xml:space="preserve">Since </w:t>
      </w:r>
      <w:r w:rsidR="00C02253">
        <w:rPr>
          <w:sz w:val="22"/>
          <w:szCs w:val="22"/>
        </w:rPr>
        <w:t>200</w:t>
      </w:r>
      <w:r w:rsidRPr="00175B16">
        <w:rPr>
          <w:sz w:val="22"/>
          <w:szCs w:val="22"/>
        </w:rPr>
        <w:t xml:space="preserve">6, average household size has </w:t>
      </w:r>
      <w:r w:rsidR="00C02253">
        <w:rPr>
          <w:sz w:val="22"/>
          <w:szCs w:val="22"/>
        </w:rPr>
        <w:t xml:space="preserve">either stayed stable or </w:t>
      </w:r>
      <w:r w:rsidRPr="00175B16">
        <w:rPr>
          <w:sz w:val="22"/>
          <w:szCs w:val="22"/>
        </w:rPr>
        <w:t xml:space="preserve">declined in </w:t>
      </w:r>
      <w:r w:rsidR="00C02253">
        <w:rPr>
          <w:sz w:val="22"/>
          <w:szCs w:val="22"/>
        </w:rPr>
        <w:t xml:space="preserve">almost </w:t>
      </w:r>
      <w:r w:rsidRPr="00175B16">
        <w:rPr>
          <w:sz w:val="22"/>
          <w:szCs w:val="22"/>
        </w:rPr>
        <w:t xml:space="preserve">every North Coast region LGA, in line with the trend for the Rest of NSW.  </w:t>
      </w:r>
      <w:r w:rsidR="00C02253">
        <w:rPr>
          <w:sz w:val="22"/>
          <w:szCs w:val="22"/>
        </w:rPr>
        <w:t>The exceptions are Ballina and Byron – both of which saw an increase in average household size between 2016 and 2021</w:t>
      </w:r>
    </w:p>
    <w:p w14:paraId="4A21192C" w14:textId="77777777" w:rsidR="00175B16" w:rsidRPr="00781754" w:rsidRDefault="00175B16" w:rsidP="00837243">
      <w:pPr>
        <w:numPr>
          <w:ilvl w:val="0"/>
          <w:numId w:val="18"/>
        </w:numPr>
        <w:spacing w:before="0" w:after="0"/>
        <w:rPr>
          <w:sz w:val="20"/>
          <w:szCs w:val="20"/>
        </w:rPr>
      </w:pPr>
      <w:r w:rsidRPr="00781754">
        <w:rPr>
          <w:sz w:val="22"/>
          <w:szCs w:val="22"/>
        </w:rPr>
        <w:t>The table below gives the average household size in all 12 LGAs in the North Coast and the Rest of NSW (excluding Sydney) for 2006, 2011</w:t>
      </w:r>
      <w:r w:rsidR="00C02253" w:rsidRPr="00781754">
        <w:rPr>
          <w:sz w:val="22"/>
          <w:szCs w:val="22"/>
        </w:rPr>
        <w:t>,</w:t>
      </w:r>
      <w:r w:rsidRPr="00781754">
        <w:rPr>
          <w:sz w:val="22"/>
          <w:szCs w:val="22"/>
        </w:rPr>
        <w:t xml:space="preserve"> 2016</w:t>
      </w:r>
      <w:r w:rsidR="00C02253" w:rsidRPr="00781754">
        <w:rPr>
          <w:sz w:val="22"/>
          <w:szCs w:val="22"/>
        </w:rPr>
        <w:t xml:space="preserve"> and 2021</w:t>
      </w:r>
      <w:r w:rsidRPr="00781754">
        <w:rPr>
          <w:sz w:val="22"/>
          <w:szCs w:val="22"/>
        </w:rPr>
        <w:t>.</w:t>
      </w:r>
    </w:p>
    <w:p w14:paraId="72CF859F" w14:textId="77777777" w:rsidR="00175B16" w:rsidRDefault="00F77E2A" w:rsidP="00781754">
      <w:pPr>
        <w:ind w:firstLine="360"/>
        <w:rPr>
          <w:sz w:val="20"/>
          <w:szCs w:val="20"/>
        </w:rPr>
      </w:pPr>
      <w:r w:rsidRPr="00F77E2A">
        <w:rPr>
          <w:noProof/>
        </w:rPr>
        <w:drawing>
          <wp:inline distT="0" distB="0" distL="0" distR="0" wp14:anchorId="3E914E9B" wp14:editId="6781655A">
            <wp:extent cx="4486275" cy="3057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3057525"/>
                    </a:xfrm>
                    <a:prstGeom prst="rect">
                      <a:avLst/>
                    </a:prstGeom>
                    <a:noFill/>
                    <a:ln>
                      <a:noFill/>
                    </a:ln>
                  </pic:spPr>
                </pic:pic>
              </a:graphicData>
            </a:graphic>
          </wp:inline>
        </w:drawing>
      </w:r>
    </w:p>
    <w:p w14:paraId="1E462065" w14:textId="77777777" w:rsidR="00175B16" w:rsidRDefault="00175B16" w:rsidP="00175B16">
      <w:pPr>
        <w:rPr>
          <w:b/>
          <w:color w:val="008000"/>
          <w:sz w:val="32"/>
        </w:rPr>
      </w:pPr>
    </w:p>
    <w:p w14:paraId="03559172" w14:textId="77777777" w:rsidR="00175B16" w:rsidRPr="001C58F3" w:rsidRDefault="00175B16" w:rsidP="00175B16">
      <w:pPr>
        <w:rPr>
          <w:b/>
          <w:color w:val="008000"/>
          <w:sz w:val="32"/>
        </w:rPr>
      </w:pPr>
      <w:r w:rsidRPr="001C58F3">
        <w:rPr>
          <w:b/>
          <w:color w:val="008000"/>
          <w:sz w:val="32"/>
        </w:rPr>
        <w:t>I</w:t>
      </w:r>
      <w:r>
        <w:rPr>
          <w:b/>
          <w:color w:val="008000"/>
          <w:sz w:val="32"/>
        </w:rPr>
        <w:t>ncome</w:t>
      </w:r>
    </w:p>
    <w:p w14:paraId="04B97239" w14:textId="77777777" w:rsidR="00B93DBB" w:rsidRDefault="00B93DBB" w:rsidP="00175B16">
      <w:pPr>
        <w:numPr>
          <w:ilvl w:val="0"/>
          <w:numId w:val="19"/>
        </w:numPr>
        <w:spacing w:before="0" w:after="0"/>
        <w:ind w:left="360"/>
        <w:rPr>
          <w:sz w:val="22"/>
          <w:szCs w:val="22"/>
        </w:rPr>
      </w:pPr>
      <w:r>
        <w:rPr>
          <w:sz w:val="22"/>
          <w:szCs w:val="22"/>
        </w:rPr>
        <w:t>At the 2021 Census, l</w:t>
      </w:r>
      <w:r w:rsidR="00175B16" w:rsidRPr="00175B16">
        <w:rPr>
          <w:sz w:val="22"/>
          <w:szCs w:val="22"/>
        </w:rPr>
        <w:t>ow income households comprise the largest proportion of all households in every North Coast region LGA</w:t>
      </w:r>
      <w:r>
        <w:rPr>
          <w:sz w:val="22"/>
          <w:szCs w:val="22"/>
        </w:rPr>
        <w:t>, with the exception of Ballina</w:t>
      </w:r>
      <w:r w:rsidR="00175B16" w:rsidRPr="00175B16">
        <w:rPr>
          <w:sz w:val="22"/>
          <w:szCs w:val="22"/>
        </w:rPr>
        <w:t>.</w:t>
      </w:r>
    </w:p>
    <w:p w14:paraId="595FA3D6" w14:textId="77777777" w:rsidR="00B93DBB" w:rsidRDefault="00B93DBB" w:rsidP="00175B16">
      <w:pPr>
        <w:numPr>
          <w:ilvl w:val="0"/>
          <w:numId w:val="19"/>
        </w:numPr>
        <w:spacing w:before="0" w:after="0"/>
        <w:ind w:left="360"/>
        <w:rPr>
          <w:sz w:val="22"/>
          <w:szCs w:val="22"/>
        </w:rPr>
      </w:pPr>
      <w:r>
        <w:rPr>
          <w:sz w:val="22"/>
          <w:szCs w:val="22"/>
        </w:rPr>
        <w:t>A</w:t>
      </w:r>
      <w:r w:rsidR="00175B16" w:rsidRPr="00175B16">
        <w:rPr>
          <w:sz w:val="22"/>
          <w:szCs w:val="22"/>
        </w:rPr>
        <w:t>ll the North Coast LGAs have a higher proportion of low income households than the</w:t>
      </w:r>
      <w:r>
        <w:rPr>
          <w:sz w:val="22"/>
          <w:szCs w:val="22"/>
        </w:rPr>
        <w:t xml:space="preserve"> average for the Rest of NSW (49.3</w:t>
      </w:r>
      <w:r w:rsidR="00175B16" w:rsidRPr="00175B16">
        <w:rPr>
          <w:sz w:val="22"/>
          <w:szCs w:val="22"/>
        </w:rPr>
        <w:t>%),</w:t>
      </w:r>
      <w:r>
        <w:rPr>
          <w:sz w:val="22"/>
          <w:szCs w:val="22"/>
        </w:rPr>
        <w:t xml:space="preserve"> except for Ballina (well under with 38.2%</w:t>
      </w:r>
      <w:r w:rsidR="008918C3">
        <w:rPr>
          <w:sz w:val="22"/>
          <w:szCs w:val="22"/>
        </w:rPr>
        <w:t>)</w:t>
      </w:r>
      <w:r>
        <w:rPr>
          <w:sz w:val="22"/>
          <w:szCs w:val="22"/>
        </w:rPr>
        <w:t xml:space="preserve"> and Byron </w:t>
      </w:r>
      <w:r w:rsidR="008918C3">
        <w:rPr>
          <w:sz w:val="22"/>
          <w:szCs w:val="22"/>
        </w:rPr>
        <w:t>(</w:t>
      </w:r>
      <w:r>
        <w:rPr>
          <w:sz w:val="22"/>
          <w:szCs w:val="22"/>
        </w:rPr>
        <w:t>just under at 48.5%)</w:t>
      </w:r>
      <w:r w:rsidR="008918C3">
        <w:rPr>
          <w:sz w:val="22"/>
          <w:szCs w:val="22"/>
        </w:rPr>
        <w:t>.</w:t>
      </w:r>
      <w:r>
        <w:rPr>
          <w:sz w:val="22"/>
          <w:szCs w:val="22"/>
        </w:rPr>
        <w:t xml:space="preserve">  Across the North Coast the proportion of low income households ranges from 38.2% in Ballina to 71.0% in Kyogle.</w:t>
      </w:r>
    </w:p>
    <w:p w14:paraId="451D2C3F" w14:textId="77777777" w:rsidR="00175B16" w:rsidRPr="00175B16" w:rsidRDefault="00175B16" w:rsidP="00175B16">
      <w:pPr>
        <w:numPr>
          <w:ilvl w:val="0"/>
          <w:numId w:val="19"/>
        </w:numPr>
        <w:spacing w:before="0" w:after="0"/>
        <w:ind w:left="360"/>
        <w:rPr>
          <w:sz w:val="22"/>
          <w:szCs w:val="22"/>
        </w:rPr>
      </w:pPr>
      <w:r w:rsidRPr="00175B16">
        <w:rPr>
          <w:sz w:val="22"/>
          <w:szCs w:val="22"/>
        </w:rPr>
        <w:lastRenderedPageBreak/>
        <w:t>Moderate income households in the Rest of NSW comprise 21.</w:t>
      </w:r>
      <w:r w:rsidR="00804B91">
        <w:rPr>
          <w:sz w:val="22"/>
          <w:szCs w:val="22"/>
        </w:rPr>
        <w:t>5</w:t>
      </w:r>
      <w:r w:rsidRPr="00175B16">
        <w:rPr>
          <w:sz w:val="22"/>
          <w:szCs w:val="22"/>
        </w:rPr>
        <w:t xml:space="preserve">% of all households, while in </w:t>
      </w:r>
      <w:r w:rsidR="008918C3">
        <w:rPr>
          <w:sz w:val="22"/>
          <w:szCs w:val="22"/>
        </w:rPr>
        <w:t xml:space="preserve">the </w:t>
      </w:r>
      <w:r w:rsidRPr="00175B16">
        <w:rPr>
          <w:sz w:val="22"/>
          <w:szCs w:val="22"/>
        </w:rPr>
        <w:t>North Coast they range from 1</w:t>
      </w:r>
      <w:r w:rsidR="00B85CF2">
        <w:rPr>
          <w:sz w:val="22"/>
          <w:szCs w:val="22"/>
        </w:rPr>
        <w:t>7.3</w:t>
      </w:r>
      <w:r w:rsidRPr="00175B16">
        <w:rPr>
          <w:sz w:val="22"/>
          <w:szCs w:val="22"/>
        </w:rPr>
        <w:t xml:space="preserve">% in </w:t>
      </w:r>
      <w:r w:rsidR="001E1047">
        <w:rPr>
          <w:sz w:val="22"/>
          <w:szCs w:val="22"/>
        </w:rPr>
        <w:t xml:space="preserve">Kyogle </w:t>
      </w:r>
      <w:r w:rsidRPr="00175B16">
        <w:rPr>
          <w:sz w:val="22"/>
          <w:szCs w:val="22"/>
        </w:rPr>
        <w:t>to 23.1% in B</w:t>
      </w:r>
      <w:r w:rsidR="00B85CF2">
        <w:rPr>
          <w:sz w:val="22"/>
          <w:szCs w:val="22"/>
        </w:rPr>
        <w:t>yron</w:t>
      </w:r>
      <w:r w:rsidRPr="00175B16">
        <w:rPr>
          <w:sz w:val="22"/>
          <w:szCs w:val="22"/>
        </w:rPr>
        <w:t>.</w:t>
      </w:r>
    </w:p>
    <w:p w14:paraId="0B374F1F" w14:textId="77777777" w:rsidR="00175B16" w:rsidRDefault="00175B16" w:rsidP="00175B16">
      <w:pPr>
        <w:numPr>
          <w:ilvl w:val="0"/>
          <w:numId w:val="19"/>
        </w:numPr>
        <w:spacing w:before="0" w:after="0"/>
        <w:ind w:left="360"/>
        <w:rPr>
          <w:sz w:val="22"/>
          <w:szCs w:val="22"/>
        </w:rPr>
      </w:pPr>
      <w:r w:rsidRPr="00175B16">
        <w:rPr>
          <w:sz w:val="22"/>
          <w:szCs w:val="22"/>
        </w:rPr>
        <w:t xml:space="preserve">High income households comprise </w:t>
      </w:r>
      <w:r w:rsidR="00515EEA">
        <w:rPr>
          <w:sz w:val="22"/>
          <w:szCs w:val="22"/>
        </w:rPr>
        <w:t>29.2</w:t>
      </w:r>
      <w:r w:rsidRPr="00175B16">
        <w:rPr>
          <w:sz w:val="22"/>
          <w:szCs w:val="22"/>
        </w:rPr>
        <w:t>% of all households in the Rest of NSW and in North Coast range between 1</w:t>
      </w:r>
      <w:r w:rsidR="00707B1E">
        <w:rPr>
          <w:sz w:val="22"/>
          <w:szCs w:val="22"/>
        </w:rPr>
        <w:t>1</w:t>
      </w:r>
      <w:r w:rsidRPr="00175B16">
        <w:rPr>
          <w:sz w:val="22"/>
          <w:szCs w:val="22"/>
        </w:rPr>
        <w:t xml:space="preserve">.8% in Kyogle and </w:t>
      </w:r>
      <w:r w:rsidR="00707B1E">
        <w:rPr>
          <w:sz w:val="22"/>
          <w:szCs w:val="22"/>
        </w:rPr>
        <w:t>40.3</w:t>
      </w:r>
      <w:r w:rsidRPr="00175B16">
        <w:rPr>
          <w:sz w:val="22"/>
          <w:szCs w:val="22"/>
        </w:rPr>
        <w:t>% in Ballina.</w:t>
      </w:r>
    </w:p>
    <w:p w14:paraId="63E310C1" w14:textId="77777777" w:rsidR="001F627E" w:rsidRDefault="001F627E" w:rsidP="00175B16">
      <w:pPr>
        <w:numPr>
          <w:ilvl w:val="0"/>
          <w:numId w:val="19"/>
        </w:numPr>
        <w:spacing w:before="0" w:after="0"/>
        <w:ind w:left="360"/>
        <w:rPr>
          <w:sz w:val="22"/>
          <w:szCs w:val="22"/>
        </w:rPr>
      </w:pPr>
      <w:r>
        <w:rPr>
          <w:sz w:val="22"/>
          <w:szCs w:val="22"/>
        </w:rPr>
        <w:t xml:space="preserve">The graph </w:t>
      </w:r>
      <w:r w:rsidR="000D6019">
        <w:rPr>
          <w:sz w:val="22"/>
          <w:szCs w:val="22"/>
        </w:rPr>
        <w:t xml:space="preserve">and table </w:t>
      </w:r>
      <w:r>
        <w:rPr>
          <w:sz w:val="22"/>
          <w:szCs w:val="22"/>
        </w:rPr>
        <w:t xml:space="preserve">below show the proportion of low, moderate and high income households in all the North Coast LGAs, compared with </w:t>
      </w:r>
      <w:r w:rsidR="00463F83">
        <w:rPr>
          <w:sz w:val="22"/>
          <w:szCs w:val="22"/>
        </w:rPr>
        <w:t>the r</w:t>
      </w:r>
      <w:r>
        <w:rPr>
          <w:sz w:val="22"/>
          <w:szCs w:val="22"/>
        </w:rPr>
        <w:t xml:space="preserve">egion and </w:t>
      </w:r>
      <w:r w:rsidR="00463F83">
        <w:rPr>
          <w:sz w:val="22"/>
          <w:szCs w:val="22"/>
        </w:rPr>
        <w:t xml:space="preserve">the </w:t>
      </w:r>
      <w:r>
        <w:rPr>
          <w:sz w:val="22"/>
          <w:szCs w:val="22"/>
        </w:rPr>
        <w:t>Rest of NSW at the 2021 Census.</w:t>
      </w:r>
    </w:p>
    <w:p w14:paraId="1906BAAB" w14:textId="77777777" w:rsidR="001F627E" w:rsidRDefault="001F627E" w:rsidP="001F627E">
      <w:pPr>
        <w:spacing w:before="0" w:after="0"/>
        <w:rPr>
          <w:sz w:val="22"/>
          <w:szCs w:val="22"/>
        </w:rPr>
      </w:pPr>
    </w:p>
    <w:p w14:paraId="323403F2" w14:textId="77777777" w:rsidR="005F6C7F" w:rsidRDefault="001F627E" w:rsidP="001F627E">
      <w:pPr>
        <w:spacing w:before="0" w:after="0"/>
        <w:rPr>
          <w:sz w:val="22"/>
          <w:szCs w:val="22"/>
        </w:rPr>
      </w:pPr>
      <w:r>
        <w:rPr>
          <w:noProof/>
          <w:sz w:val="22"/>
          <w:szCs w:val="22"/>
        </w:rPr>
        <w:drawing>
          <wp:inline distT="0" distB="0" distL="0" distR="0" wp14:anchorId="6A1A0DC0" wp14:editId="048E79B6">
            <wp:extent cx="5842660" cy="2868809"/>
            <wp:effectExtent l="0" t="0" r="571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1100" cy="2882774"/>
                    </a:xfrm>
                    <a:prstGeom prst="rect">
                      <a:avLst/>
                    </a:prstGeom>
                    <a:noFill/>
                  </pic:spPr>
                </pic:pic>
              </a:graphicData>
            </a:graphic>
          </wp:inline>
        </w:drawing>
      </w:r>
    </w:p>
    <w:p w14:paraId="10881BE1" w14:textId="77777777" w:rsidR="005F6C7F" w:rsidRDefault="005F6C7F" w:rsidP="001F627E">
      <w:pPr>
        <w:spacing w:before="0" w:after="0"/>
        <w:rPr>
          <w:sz w:val="22"/>
          <w:szCs w:val="22"/>
        </w:rPr>
      </w:pPr>
    </w:p>
    <w:p w14:paraId="50A24CB8" w14:textId="77777777" w:rsidR="000D6019" w:rsidRDefault="000D6019" w:rsidP="001F627E">
      <w:pPr>
        <w:spacing w:before="0" w:after="0"/>
        <w:rPr>
          <w:sz w:val="22"/>
          <w:szCs w:val="22"/>
        </w:rPr>
      </w:pPr>
      <w:r w:rsidRPr="000D6019">
        <w:rPr>
          <w:noProof/>
        </w:rPr>
        <w:drawing>
          <wp:inline distT="0" distB="0" distL="0" distR="0" wp14:anchorId="68DFF15D" wp14:editId="723B6A1A">
            <wp:extent cx="3371850" cy="3629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3629025"/>
                    </a:xfrm>
                    <a:prstGeom prst="rect">
                      <a:avLst/>
                    </a:prstGeom>
                    <a:noFill/>
                    <a:ln>
                      <a:noFill/>
                    </a:ln>
                  </pic:spPr>
                </pic:pic>
              </a:graphicData>
            </a:graphic>
          </wp:inline>
        </w:drawing>
      </w:r>
    </w:p>
    <w:p w14:paraId="7D6621B5" w14:textId="77777777" w:rsidR="00175B16" w:rsidRDefault="00175B16" w:rsidP="00175B16">
      <w:pPr>
        <w:numPr>
          <w:ilvl w:val="0"/>
          <w:numId w:val="19"/>
        </w:numPr>
        <w:spacing w:before="0" w:after="0"/>
        <w:ind w:left="360"/>
        <w:rPr>
          <w:sz w:val="22"/>
          <w:szCs w:val="22"/>
        </w:rPr>
      </w:pPr>
      <w:r w:rsidRPr="00175B16">
        <w:rPr>
          <w:sz w:val="22"/>
          <w:szCs w:val="22"/>
        </w:rPr>
        <w:lastRenderedPageBreak/>
        <w:t>Between 201</w:t>
      </w:r>
      <w:r w:rsidR="00707B1E">
        <w:rPr>
          <w:sz w:val="22"/>
          <w:szCs w:val="22"/>
        </w:rPr>
        <w:t>6</w:t>
      </w:r>
      <w:r w:rsidRPr="00175B16">
        <w:rPr>
          <w:sz w:val="22"/>
          <w:szCs w:val="22"/>
        </w:rPr>
        <w:t xml:space="preserve"> and 20</w:t>
      </w:r>
      <w:r w:rsidR="00707B1E">
        <w:rPr>
          <w:sz w:val="22"/>
          <w:szCs w:val="22"/>
        </w:rPr>
        <w:t>21</w:t>
      </w:r>
      <w:r w:rsidRPr="00175B16">
        <w:rPr>
          <w:sz w:val="22"/>
          <w:szCs w:val="22"/>
        </w:rPr>
        <w:t xml:space="preserve"> the </w:t>
      </w:r>
      <w:r w:rsidR="00707B1E">
        <w:rPr>
          <w:sz w:val="22"/>
          <w:szCs w:val="22"/>
        </w:rPr>
        <w:t>number</w:t>
      </w:r>
      <w:r w:rsidRPr="00175B16">
        <w:rPr>
          <w:sz w:val="22"/>
          <w:szCs w:val="22"/>
        </w:rPr>
        <w:t xml:space="preserve"> of low income households increased in every North Coast LGA, in line with the trend for the Rest of NSW</w:t>
      </w:r>
      <w:r w:rsidR="00707B1E">
        <w:rPr>
          <w:sz w:val="22"/>
          <w:szCs w:val="22"/>
        </w:rPr>
        <w:t>, except for Ballina, Kempsey and Nambucca</w:t>
      </w:r>
      <w:r w:rsidRPr="00175B16">
        <w:rPr>
          <w:sz w:val="22"/>
          <w:szCs w:val="22"/>
        </w:rPr>
        <w:t xml:space="preserve">.  </w:t>
      </w:r>
    </w:p>
    <w:p w14:paraId="5228080D" w14:textId="77777777" w:rsidR="00707B1E" w:rsidRDefault="00707B1E" w:rsidP="00175B16">
      <w:pPr>
        <w:numPr>
          <w:ilvl w:val="0"/>
          <w:numId w:val="19"/>
        </w:numPr>
        <w:spacing w:before="0" w:after="0"/>
        <w:ind w:left="360"/>
        <w:rPr>
          <w:sz w:val="22"/>
          <w:szCs w:val="22"/>
        </w:rPr>
      </w:pPr>
      <w:r>
        <w:rPr>
          <w:sz w:val="22"/>
          <w:szCs w:val="22"/>
        </w:rPr>
        <w:t>Over the same period, the number of moderate income households increased in every North Coast LGA excepting Bellingen, Kyogle and Richmond Valley.</w:t>
      </w:r>
    </w:p>
    <w:p w14:paraId="64C9B8C1" w14:textId="77777777" w:rsidR="00707B1E" w:rsidRPr="00175B16" w:rsidRDefault="00463F83" w:rsidP="00175B16">
      <w:pPr>
        <w:numPr>
          <w:ilvl w:val="0"/>
          <w:numId w:val="19"/>
        </w:numPr>
        <w:spacing w:before="0" w:after="0"/>
        <w:ind w:left="360"/>
        <w:rPr>
          <w:sz w:val="22"/>
          <w:szCs w:val="22"/>
        </w:rPr>
      </w:pPr>
      <w:r>
        <w:rPr>
          <w:sz w:val="22"/>
          <w:szCs w:val="22"/>
        </w:rPr>
        <w:t>T</w:t>
      </w:r>
      <w:r w:rsidR="00707B1E">
        <w:rPr>
          <w:sz w:val="22"/>
          <w:szCs w:val="22"/>
        </w:rPr>
        <w:t xml:space="preserve">he number of high income households </w:t>
      </w:r>
      <w:r w:rsidR="001E1047">
        <w:rPr>
          <w:sz w:val="22"/>
          <w:szCs w:val="22"/>
        </w:rPr>
        <w:t>declined in every North Coast LGA other than Ballina, Byron, Kempsey and Nambucca – which all experienced an increase.</w:t>
      </w:r>
    </w:p>
    <w:p w14:paraId="29C1C2BE" w14:textId="77777777" w:rsidR="00222967" w:rsidRPr="00175B16" w:rsidRDefault="001E1047" w:rsidP="00222967">
      <w:pPr>
        <w:numPr>
          <w:ilvl w:val="0"/>
          <w:numId w:val="19"/>
        </w:numPr>
        <w:spacing w:before="0" w:after="0"/>
        <w:ind w:left="360"/>
        <w:rPr>
          <w:sz w:val="22"/>
          <w:szCs w:val="22"/>
        </w:rPr>
      </w:pPr>
      <w:r>
        <w:rPr>
          <w:sz w:val="22"/>
          <w:szCs w:val="22"/>
        </w:rPr>
        <w:t>Between 2016 and 2021, Kyogle, Bellingen, Port Macquarie-Hastings and Richmond Valley had the largest proportional increases in low income households</w:t>
      </w:r>
      <w:r w:rsidR="00222967">
        <w:rPr>
          <w:sz w:val="22"/>
          <w:szCs w:val="22"/>
        </w:rPr>
        <w:t>.</w:t>
      </w:r>
    </w:p>
    <w:p w14:paraId="0958CBD1" w14:textId="77777777" w:rsidR="00175B16" w:rsidRDefault="00AA773C" w:rsidP="00175B16">
      <w:pPr>
        <w:numPr>
          <w:ilvl w:val="0"/>
          <w:numId w:val="19"/>
        </w:numPr>
        <w:spacing w:before="0" w:after="0"/>
        <w:ind w:left="360"/>
        <w:rPr>
          <w:sz w:val="22"/>
          <w:szCs w:val="22"/>
        </w:rPr>
      </w:pPr>
      <w:r>
        <w:rPr>
          <w:sz w:val="22"/>
          <w:szCs w:val="22"/>
        </w:rPr>
        <w:t>C</w:t>
      </w:r>
      <w:r w:rsidR="00222967">
        <w:rPr>
          <w:sz w:val="22"/>
          <w:szCs w:val="22"/>
        </w:rPr>
        <w:t xml:space="preserve">ollectively North Coast as a region experienced an increase of 2.9% in the number of low income households and </w:t>
      </w:r>
      <w:r w:rsidR="00175B16" w:rsidRPr="00175B16">
        <w:rPr>
          <w:sz w:val="22"/>
          <w:szCs w:val="22"/>
        </w:rPr>
        <w:t xml:space="preserve">every LGA except </w:t>
      </w:r>
      <w:r w:rsidR="00222967">
        <w:rPr>
          <w:sz w:val="22"/>
          <w:szCs w:val="22"/>
        </w:rPr>
        <w:t xml:space="preserve">Byron </w:t>
      </w:r>
      <w:r w:rsidR="00175B16" w:rsidRPr="00175B16">
        <w:rPr>
          <w:sz w:val="22"/>
          <w:szCs w:val="22"/>
        </w:rPr>
        <w:t>had a larger increase in the proportion of low income households than the Rest of NSW –</w:t>
      </w:r>
      <w:r w:rsidR="00222967">
        <w:rPr>
          <w:sz w:val="22"/>
          <w:szCs w:val="22"/>
        </w:rPr>
        <w:t xml:space="preserve"> </w:t>
      </w:r>
      <w:r w:rsidR="00C930BC">
        <w:rPr>
          <w:sz w:val="22"/>
          <w:szCs w:val="22"/>
        </w:rPr>
        <w:t>excepting</w:t>
      </w:r>
      <w:r w:rsidR="00222967">
        <w:rPr>
          <w:sz w:val="22"/>
          <w:szCs w:val="22"/>
        </w:rPr>
        <w:t xml:space="preserve"> that Ballina, Kempsey and Nambucca all experienced a decline in low income households. </w:t>
      </w:r>
    </w:p>
    <w:p w14:paraId="2E8FCDC5" w14:textId="77777777" w:rsidR="00D2617D" w:rsidRDefault="00D2617D" w:rsidP="00175B16">
      <w:pPr>
        <w:numPr>
          <w:ilvl w:val="0"/>
          <w:numId w:val="19"/>
        </w:numPr>
        <w:spacing w:before="0" w:after="0"/>
        <w:ind w:left="360"/>
        <w:rPr>
          <w:sz w:val="22"/>
          <w:szCs w:val="22"/>
        </w:rPr>
      </w:pPr>
      <w:r>
        <w:rPr>
          <w:sz w:val="22"/>
          <w:szCs w:val="22"/>
        </w:rPr>
        <w:t>The graph below shows the change in the proportion of very low and low (collectively low) income households from 2011 to 2016 to 2021 in the North Coast LGAs.</w:t>
      </w:r>
    </w:p>
    <w:p w14:paraId="5DD5C4EC" w14:textId="77777777" w:rsidR="00D2617D" w:rsidRDefault="00D2617D" w:rsidP="00D2617D">
      <w:pPr>
        <w:spacing w:before="0" w:after="0"/>
        <w:rPr>
          <w:sz w:val="22"/>
          <w:szCs w:val="22"/>
        </w:rPr>
      </w:pPr>
    </w:p>
    <w:p w14:paraId="6CF08113" w14:textId="77777777" w:rsidR="00D2617D" w:rsidRDefault="00D2617D" w:rsidP="00D2617D">
      <w:pPr>
        <w:spacing w:before="0" w:after="0"/>
        <w:rPr>
          <w:sz w:val="22"/>
          <w:szCs w:val="22"/>
        </w:rPr>
      </w:pPr>
      <w:r>
        <w:rPr>
          <w:noProof/>
          <w:sz w:val="22"/>
          <w:szCs w:val="22"/>
        </w:rPr>
        <w:drawing>
          <wp:inline distT="0" distB="0" distL="0" distR="0" wp14:anchorId="6C62682B" wp14:editId="16433C39">
            <wp:extent cx="6080760" cy="32832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854" cy="3286552"/>
                    </a:xfrm>
                    <a:prstGeom prst="rect">
                      <a:avLst/>
                    </a:prstGeom>
                    <a:noFill/>
                  </pic:spPr>
                </pic:pic>
              </a:graphicData>
            </a:graphic>
          </wp:inline>
        </w:drawing>
      </w:r>
    </w:p>
    <w:p w14:paraId="6194B2F5" w14:textId="77777777" w:rsidR="00D2617D" w:rsidRDefault="00D2617D" w:rsidP="00D2617D">
      <w:pPr>
        <w:spacing w:before="0" w:after="0"/>
        <w:rPr>
          <w:sz w:val="22"/>
          <w:szCs w:val="22"/>
        </w:rPr>
      </w:pPr>
    </w:p>
    <w:p w14:paraId="20A240FD" w14:textId="77777777" w:rsidR="00480E33" w:rsidRDefault="00AA773C" w:rsidP="00175B16">
      <w:pPr>
        <w:numPr>
          <w:ilvl w:val="0"/>
          <w:numId w:val="19"/>
        </w:numPr>
        <w:spacing w:before="0" w:after="0"/>
        <w:ind w:left="360"/>
        <w:rPr>
          <w:sz w:val="22"/>
          <w:szCs w:val="22"/>
        </w:rPr>
      </w:pPr>
      <w:r>
        <w:rPr>
          <w:sz w:val="22"/>
          <w:szCs w:val="22"/>
        </w:rPr>
        <w:t>However, despite the increase in the number of low income households between 2016 and 2021, a</w:t>
      </w:r>
      <w:r w:rsidR="00480E33">
        <w:rPr>
          <w:sz w:val="22"/>
          <w:szCs w:val="22"/>
        </w:rPr>
        <w:t>ll</w:t>
      </w:r>
      <w:r w:rsidR="00175B16" w:rsidRPr="00175B16">
        <w:rPr>
          <w:sz w:val="22"/>
          <w:szCs w:val="22"/>
        </w:rPr>
        <w:t xml:space="preserve"> North Coast LGAs experienced a very strong </w:t>
      </w:r>
      <w:r w:rsidR="00480E33">
        <w:rPr>
          <w:sz w:val="22"/>
          <w:szCs w:val="22"/>
        </w:rPr>
        <w:t>decline</w:t>
      </w:r>
      <w:r w:rsidR="00175B16" w:rsidRPr="00175B16">
        <w:rPr>
          <w:sz w:val="22"/>
          <w:szCs w:val="22"/>
        </w:rPr>
        <w:t xml:space="preserve"> in </w:t>
      </w:r>
      <w:r w:rsidR="00480E33">
        <w:rPr>
          <w:sz w:val="22"/>
          <w:szCs w:val="22"/>
        </w:rPr>
        <w:t xml:space="preserve">very </w:t>
      </w:r>
      <w:r w:rsidR="00175B16" w:rsidRPr="00175B16">
        <w:rPr>
          <w:sz w:val="22"/>
          <w:szCs w:val="22"/>
        </w:rPr>
        <w:t xml:space="preserve">low income </w:t>
      </w:r>
      <w:r w:rsidR="00175B16" w:rsidRPr="00175B16">
        <w:rPr>
          <w:b/>
          <w:sz w:val="22"/>
          <w:szCs w:val="22"/>
        </w:rPr>
        <w:t>rental</w:t>
      </w:r>
      <w:r w:rsidR="00175B16" w:rsidRPr="00175B16">
        <w:rPr>
          <w:sz w:val="22"/>
          <w:szCs w:val="22"/>
        </w:rPr>
        <w:t xml:space="preserve"> households </w:t>
      </w:r>
      <w:r>
        <w:rPr>
          <w:sz w:val="22"/>
          <w:szCs w:val="22"/>
        </w:rPr>
        <w:t>over the same period</w:t>
      </w:r>
      <w:r w:rsidR="00480E33">
        <w:rPr>
          <w:sz w:val="22"/>
          <w:szCs w:val="22"/>
        </w:rPr>
        <w:t xml:space="preserve">, varying between a -47.9% decline in Byron and a -20.4% decline in Coffs Harbour.  </w:t>
      </w:r>
    </w:p>
    <w:p w14:paraId="0BA3F78A" w14:textId="77777777" w:rsidR="00B2376F" w:rsidRDefault="00480E33" w:rsidP="00175B16">
      <w:pPr>
        <w:numPr>
          <w:ilvl w:val="0"/>
          <w:numId w:val="19"/>
        </w:numPr>
        <w:spacing w:before="0" w:after="0"/>
        <w:ind w:left="360"/>
        <w:rPr>
          <w:sz w:val="22"/>
          <w:szCs w:val="22"/>
        </w:rPr>
      </w:pPr>
      <w:r>
        <w:rPr>
          <w:sz w:val="22"/>
          <w:szCs w:val="22"/>
        </w:rPr>
        <w:t xml:space="preserve">Most also had declines in low income </w:t>
      </w:r>
      <w:r>
        <w:rPr>
          <w:b/>
          <w:sz w:val="22"/>
          <w:szCs w:val="22"/>
        </w:rPr>
        <w:t>rental</w:t>
      </w:r>
      <w:r>
        <w:rPr>
          <w:sz w:val="22"/>
          <w:szCs w:val="22"/>
        </w:rPr>
        <w:t xml:space="preserve"> households over the same period, with Byron again having the largest proportional decline of 20.0%.  However, Kyogle, Nambucca Valley, Port Macquarie-Hastings and Richmond Valley all had increases in the proportion of low income rental households. </w:t>
      </w:r>
    </w:p>
    <w:p w14:paraId="2C5C2381" w14:textId="77777777" w:rsidR="008D1DF2" w:rsidRPr="008D1DF2" w:rsidRDefault="00B2376F" w:rsidP="008D1DF2">
      <w:pPr>
        <w:numPr>
          <w:ilvl w:val="0"/>
          <w:numId w:val="19"/>
        </w:numPr>
        <w:spacing w:before="0" w:after="0"/>
        <w:ind w:left="360"/>
        <w:rPr>
          <w:sz w:val="22"/>
          <w:szCs w:val="22"/>
        </w:rPr>
      </w:pPr>
      <w:r w:rsidRPr="008D1DF2">
        <w:rPr>
          <w:sz w:val="22"/>
          <w:szCs w:val="22"/>
        </w:rPr>
        <w:lastRenderedPageBreak/>
        <w:t>Th</w:t>
      </w:r>
      <w:r w:rsidR="00D05CAE" w:rsidRPr="008D1DF2">
        <w:rPr>
          <w:sz w:val="22"/>
          <w:szCs w:val="22"/>
        </w:rPr>
        <w:t>e significant reduction in both very low (-3,671) and low income renters (-847) across the North Coast region</w:t>
      </w:r>
      <w:r w:rsidR="008D1DF2">
        <w:rPr>
          <w:sz w:val="22"/>
          <w:szCs w:val="22"/>
        </w:rPr>
        <w:t xml:space="preserve"> </w:t>
      </w:r>
      <w:r w:rsidR="008D1DF2" w:rsidRPr="004818F8">
        <w:rPr>
          <w:sz w:val="22"/>
          <w:szCs w:val="22"/>
        </w:rPr>
        <w:t xml:space="preserve">is likely due to the additional Commonwealth financial assistance to renters during the pandemic </w:t>
      </w:r>
      <w:r w:rsidR="008D1DF2">
        <w:rPr>
          <w:sz w:val="22"/>
          <w:szCs w:val="22"/>
        </w:rPr>
        <w:t xml:space="preserve">and may therefore be temporary </w:t>
      </w:r>
      <w:r w:rsidR="008D1DF2" w:rsidRPr="004818F8">
        <w:rPr>
          <w:sz w:val="22"/>
          <w:szCs w:val="22"/>
        </w:rPr>
        <w:t>–</w:t>
      </w:r>
      <w:r w:rsidR="008D1DF2">
        <w:rPr>
          <w:sz w:val="22"/>
          <w:szCs w:val="22"/>
        </w:rPr>
        <w:t xml:space="preserve"> a</w:t>
      </w:r>
      <w:r w:rsidR="008D1DF2" w:rsidRPr="004818F8">
        <w:rPr>
          <w:sz w:val="22"/>
          <w:szCs w:val="22"/>
        </w:rPr>
        <w:t xml:space="preserve">s </w:t>
      </w:r>
      <w:r w:rsidR="008D1DF2">
        <w:rPr>
          <w:sz w:val="22"/>
          <w:szCs w:val="22"/>
        </w:rPr>
        <w:t xml:space="preserve">this has </w:t>
      </w:r>
      <w:r w:rsidR="008D1DF2" w:rsidRPr="004818F8">
        <w:rPr>
          <w:sz w:val="22"/>
          <w:szCs w:val="22"/>
        </w:rPr>
        <w:t xml:space="preserve">subsequently been discontinued, as explained in the What’s Happening in the Housing Market” snapshot for the </w:t>
      </w:r>
      <w:r w:rsidR="008D1DF2">
        <w:rPr>
          <w:sz w:val="22"/>
          <w:szCs w:val="22"/>
        </w:rPr>
        <w:t>North Coast</w:t>
      </w:r>
      <w:r w:rsidR="008D1DF2" w:rsidRPr="004818F8">
        <w:rPr>
          <w:sz w:val="22"/>
          <w:szCs w:val="22"/>
        </w:rPr>
        <w:t xml:space="preserve">.   It is also likely that at least some lower income rental households have been priced out of </w:t>
      </w:r>
      <w:r w:rsidR="00C930BC">
        <w:rPr>
          <w:sz w:val="22"/>
          <w:szCs w:val="22"/>
        </w:rPr>
        <w:t xml:space="preserve">some LGAs and even </w:t>
      </w:r>
      <w:r w:rsidR="008D1DF2" w:rsidRPr="004818F8">
        <w:rPr>
          <w:sz w:val="22"/>
          <w:szCs w:val="22"/>
        </w:rPr>
        <w:t>the region and/or impacted by the loss of long term rental to short term rental or home purchase/ownership.</w:t>
      </w:r>
      <w:r w:rsidR="008D1DF2">
        <w:rPr>
          <w:sz w:val="22"/>
          <w:szCs w:val="22"/>
        </w:rPr>
        <w:t xml:space="preserve"> </w:t>
      </w:r>
      <w:r w:rsidR="008D1DF2" w:rsidRPr="004818F8">
        <w:rPr>
          <w:sz w:val="22"/>
          <w:szCs w:val="22"/>
        </w:rPr>
        <w:t>The snapshot of What’s Happening in the Housing Market shows the significant decline in the proportion of private rental that is affordable to very low income households.</w:t>
      </w:r>
      <w:r w:rsidR="008D1DF2" w:rsidRPr="008D1DF2">
        <w:rPr>
          <w:sz w:val="22"/>
          <w:szCs w:val="22"/>
        </w:rPr>
        <w:t xml:space="preserve"> </w:t>
      </w:r>
    </w:p>
    <w:p w14:paraId="65CAD272" w14:textId="77777777" w:rsidR="008D1DF2" w:rsidRPr="008D1DF2" w:rsidRDefault="008D1DF2" w:rsidP="004B0EB0">
      <w:pPr>
        <w:numPr>
          <w:ilvl w:val="0"/>
          <w:numId w:val="19"/>
        </w:numPr>
        <w:spacing w:before="0" w:after="0"/>
        <w:ind w:left="360"/>
        <w:rPr>
          <w:sz w:val="22"/>
          <w:szCs w:val="22"/>
        </w:rPr>
      </w:pPr>
      <w:r>
        <w:rPr>
          <w:sz w:val="22"/>
          <w:szCs w:val="22"/>
        </w:rPr>
        <w:t xml:space="preserve">These changes </w:t>
      </w:r>
      <w:r w:rsidRPr="008D1DF2">
        <w:rPr>
          <w:sz w:val="22"/>
          <w:szCs w:val="22"/>
        </w:rPr>
        <w:t xml:space="preserve">underline the need to consider tenure as well as price point when </w:t>
      </w:r>
      <w:r w:rsidR="00B94126">
        <w:rPr>
          <w:sz w:val="22"/>
          <w:szCs w:val="22"/>
        </w:rPr>
        <w:t>developing</w:t>
      </w:r>
      <w:r w:rsidRPr="008D1DF2">
        <w:rPr>
          <w:sz w:val="22"/>
          <w:szCs w:val="22"/>
        </w:rPr>
        <w:t xml:space="preserve"> housing responses to meet housing needs in the North Coast communities.</w:t>
      </w:r>
    </w:p>
    <w:p w14:paraId="30F83D4D" w14:textId="77777777" w:rsidR="001F627E" w:rsidRPr="00B2376F" w:rsidRDefault="001F627E" w:rsidP="005C1AFD">
      <w:pPr>
        <w:numPr>
          <w:ilvl w:val="0"/>
          <w:numId w:val="19"/>
        </w:numPr>
        <w:spacing w:before="0" w:after="0"/>
        <w:ind w:left="360"/>
        <w:rPr>
          <w:sz w:val="22"/>
          <w:szCs w:val="22"/>
        </w:rPr>
      </w:pPr>
      <w:r w:rsidRPr="00B2376F">
        <w:rPr>
          <w:sz w:val="22"/>
          <w:szCs w:val="22"/>
        </w:rPr>
        <w:t xml:space="preserve">The </w:t>
      </w:r>
      <w:r w:rsidR="00D2480A" w:rsidRPr="00B2376F">
        <w:rPr>
          <w:sz w:val="22"/>
          <w:szCs w:val="22"/>
        </w:rPr>
        <w:t>graph</w:t>
      </w:r>
      <w:r w:rsidRPr="00B2376F">
        <w:rPr>
          <w:sz w:val="22"/>
          <w:szCs w:val="22"/>
        </w:rPr>
        <w:t xml:space="preserve"> below shows the change in the number of very low and low income renters between 2016 and 2021 in the North Coast.</w:t>
      </w:r>
    </w:p>
    <w:p w14:paraId="3E547D4D" w14:textId="77777777" w:rsidR="001F627E" w:rsidRDefault="001F627E" w:rsidP="001F627E">
      <w:pPr>
        <w:spacing w:before="0" w:after="0"/>
        <w:rPr>
          <w:sz w:val="22"/>
          <w:szCs w:val="22"/>
        </w:rPr>
      </w:pPr>
    </w:p>
    <w:p w14:paraId="4A57D401" w14:textId="77777777" w:rsidR="001F627E" w:rsidRDefault="001F627E" w:rsidP="001F627E">
      <w:pPr>
        <w:spacing w:before="0" w:after="0"/>
        <w:rPr>
          <w:sz w:val="22"/>
          <w:szCs w:val="22"/>
        </w:rPr>
      </w:pPr>
    </w:p>
    <w:p w14:paraId="266D0CD2" w14:textId="77777777" w:rsidR="001F627E" w:rsidRDefault="00480E33" w:rsidP="001F627E">
      <w:pPr>
        <w:spacing w:before="0" w:after="0"/>
        <w:rPr>
          <w:sz w:val="22"/>
          <w:szCs w:val="22"/>
        </w:rPr>
      </w:pPr>
      <w:r>
        <w:rPr>
          <w:noProof/>
          <w:sz w:val="22"/>
          <w:szCs w:val="22"/>
        </w:rPr>
        <w:drawing>
          <wp:inline distT="0" distB="0" distL="0" distR="0" wp14:anchorId="2C6A2143" wp14:editId="7E8AD6E9">
            <wp:extent cx="6078220" cy="40722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8220" cy="4072255"/>
                    </a:xfrm>
                    <a:prstGeom prst="rect">
                      <a:avLst/>
                    </a:prstGeom>
                    <a:noFill/>
                  </pic:spPr>
                </pic:pic>
              </a:graphicData>
            </a:graphic>
          </wp:inline>
        </w:drawing>
      </w:r>
    </w:p>
    <w:p w14:paraId="4091A1B1" w14:textId="77777777" w:rsidR="00D2480A" w:rsidRDefault="00D2480A" w:rsidP="001F627E">
      <w:pPr>
        <w:spacing w:before="0" w:after="0"/>
        <w:rPr>
          <w:sz w:val="22"/>
          <w:szCs w:val="22"/>
        </w:rPr>
      </w:pPr>
    </w:p>
    <w:p w14:paraId="2DF4CF21" w14:textId="77777777" w:rsidR="00D2480A" w:rsidRPr="00175B16" w:rsidRDefault="00D2480A" w:rsidP="001F627E">
      <w:pPr>
        <w:spacing w:before="0" w:after="0"/>
        <w:rPr>
          <w:sz w:val="22"/>
          <w:szCs w:val="22"/>
        </w:rPr>
      </w:pPr>
    </w:p>
    <w:p w14:paraId="23BAF7F0" w14:textId="77777777" w:rsidR="00175B16" w:rsidRPr="00175B16" w:rsidRDefault="00175B16" w:rsidP="00175B16">
      <w:pPr>
        <w:numPr>
          <w:ilvl w:val="0"/>
          <w:numId w:val="19"/>
        </w:numPr>
        <w:spacing w:before="0" w:after="0"/>
        <w:ind w:left="360"/>
        <w:rPr>
          <w:sz w:val="22"/>
          <w:szCs w:val="22"/>
        </w:rPr>
      </w:pPr>
      <w:r w:rsidRPr="00175B16">
        <w:rPr>
          <w:sz w:val="22"/>
          <w:szCs w:val="22"/>
        </w:rPr>
        <w:t>Byron ($</w:t>
      </w:r>
      <w:r w:rsidR="00F53615">
        <w:rPr>
          <w:sz w:val="22"/>
          <w:szCs w:val="22"/>
        </w:rPr>
        <w:t>1602</w:t>
      </w:r>
      <w:r w:rsidRPr="00175B16">
        <w:rPr>
          <w:sz w:val="22"/>
          <w:szCs w:val="22"/>
        </w:rPr>
        <w:t xml:space="preserve">) </w:t>
      </w:r>
      <w:r w:rsidR="00F53615">
        <w:rPr>
          <w:sz w:val="22"/>
          <w:szCs w:val="22"/>
        </w:rPr>
        <w:t xml:space="preserve">is </w:t>
      </w:r>
      <w:r w:rsidRPr="00175B16">
        <w:rPr>
          <w:sz w:val="22"/>
          <w:szCs w:val="22"/>
        </w:rPr>
        <w:t xml:space="preserve">the only LGA in the North Coast region with </w:t>
      </w:r>
      <w:r w:rsidR="00F53615">
        <w:rPr>
          <w:sz w:val="22"/>
          <w:szCs w:val="22"/>
        </w:rPr>
        <w:t xml:space="preserve">a </w:t>
      </w:r>
      <w:r w:rsidRPr="00175B16">
        <w:rPr>
          <w:sz w:val="22"/>
          <w:szCs w:val="22"/>
        </w:rPr>
        <w:t>higher median income at 20</w:t>
      </w:r>
      <w:r w:rsidR="00F53615">
        <w:rPr>
          <w:sz w:val="22"/>
          <w:szCs w:val="22"/>
        </w:rPr>
        <w:t>21</w:t>
      </w:r>
      <w:r w:rsidRPr="00175B16">
        <w:rPr>
          <w:sz w:val="22"/>
          <w:szCs w:val="22"/>
        </w:rPr>
        <w:t xml:space="preserve"> than the Rest of NSW ($</w:t>
      </w:r>
      <w:r w:rsidR="00F53615">
        <w:rPr>
          <w:sz w:val="22"/>
          <w:szCs w:val="22"/>
        </w:rPr>
        <w:t>1,434</w:t>
      </w:r>
      <w:r w:rsidRPr="00175B16">
        <w:rPr>
          <w:sz w:val="22"/>
          <w:szCs w:val="22"/>
        </w:rPr>
        <w:t xml:space="preserve">), with </w:t>
      </w:r>
      <w:r w:rsidR="00F53615">
        <w:rPr>
          <w:sz w:val="22"/>
          <w:szCs w:val="22"/>
        </w:rPr>
        <w:t>Ballina just below ($1,429)</w:t>
      </w:r>
      <w:r w:rsidRPr="00175B16">
        <w:rPr>
          <w:sz w:val="22"/>
          <w:szCs w:val="22"/>
        </w:rPr>
        <w:t>.</w:t>
      </w:r>
    </w:p>
    <w:p w14:paraId="56C66896" w14:textId="77777777" w:rsidR="00F53615" w:rsidRDefault="00175B16" w:rsidP="00175B16">
      <w:pPr>
        <w:numPr>
          <w:ilvl w:val="0"/>
          <w:numId w:val="19"/>
        </w:numPr>
        <w:spacing w:before="0" w:after="0"/>
        <w:ind w:left="360"/>
        <w:rPr>
          <w:sz w:val="22"/>
          <w:szCs w:val="22"/>
        </w:rPr>
      </w:pPr>
      <w:r w:rsidRPr="00175B16">
        <w:rPr>
          <w:sz w:val="22"/>
          <w:szCs w:val="22"/>
        </w:rPr>
        <w:t xml:space="preserve">The </w:t>
      </w:r>
      <w:r w:rsidR="00B00615">
        <w:rPr>
          <w:sz w:val="22"/>
          <w:szCs w:val="22"/>
        </w:rPr>
        <w:t>table</w:t>
      </w:r>
      <w:r w:rsidRPr="00175B16">
        <w:rPr>
          <w:sz w:val="22"/>
          <w:szCs w:val="22"/>
        </w:rPr>
        <w:t xml:space="preserve"> below shows the </w:t>
      </w:r>
      <w:r w:rsidR="00B00615">
        <w:rPr>
          <w:sz w:val="22"/>
          <w:szCs w:val="22"/>
        </w:rPr>
        <w:t xml:space="preserve">change in median </w:t>
      </w:r>
      <w:r w:rsidR="00F53615">
        <w:rPr>
          <w:sz w:val="22"/>
          <w:szCs w:val="22"/>
        </w:rPr>
        <w:t>income</w:t>
      </w:r>
      <w:r w:rsidR="00B00615">
        <w:rPr>
          <w:sz w:val="22"/>
          <w:szCs w:val="22"/>
        </w:rPr>
        <w:t xml:space="preserve"> </w:t>
      </w:r>
      <w:r w:rsidRPr="00175B16">
        <w:rPr>
          <w:sz w:val="22"/>
          <w:szCs w:val="22"/>
        </w:rPr>
        <w:t xml:space="preserve">in each North Coast LGA along with the Rest of NSW </w:t>
      </w:r>
      <w:r w:rsidR="00B00615">
        <w:rPr>
          <w:sz w:val="22"/>
          <w:szCs w:val="22"/>
        </w:rPr>
        <w:t>from</w:t>
      </w:r>
      <w:r w:rsidRPr="00175B16">
        <w:rPr>
          <w:sz w:val="22"/>
          <w:szCs w:val="22"/>
        </w:rPr>
        <w:t xml:space="preserve"> the </w:t>
      </w:r>
      <w:r w:rsidR="00B00615">
        <w:rPr>
          <w:sz w:val="22"/>
          <w:szCs w:val="22"/>
        </w:rPr>
        <w:t xml:space="preserve">2011, </w:t>
      </w:r>
      <w:r w:rsidRPr="00175B16">
        <w:rPr>
          <w:sz w:val="22"/>
          <w:szCs w:val="22"/>
        </w:rPr>
        <w:t xml:space="preserve">2016 </w:t>
      </w:r>
      <w:r w:rsidR="00B00615">
        <w:rPr>
          <w:sz w:val="22"/>
          <w:szCs w:val="22"/>
        </w:rPr>
        <w:t xml:space="preserve">and 2021 </w:t>
      </w:r>
      <w:r w:rsidRPr="00175B16">
        <w:rPr>
          <w:sz w:val="22"/>
          <w:szCs w:val="22"/>
        </w:rPr>
        <w:t>Census.</w:t>
      </w:r>
    </w:p>
    <w:p w14:paraId="14A71764" w14:textId="77777777" w:rsidR="00175B16" w:rsidRPr="00F53615" w:rsidRDefault="00F53615" w:rsidP="00F53615">
      <w:pPr>
        <w:tabs>
          <w:tab w:val="left" w:pos="2550"/>
        </w:tabs>
        <w:rPr>
          <w:sz w:val="22"/>
          <w:szCs w:val="22"/>
        </w:rPr>
      </w:pPr>
      <w:r>
        <w:rPr>
          <w:sz w:val="22"/>
          <w:szCs w:val="22"/>
        </w:rPr>
        <w:tab/>
      </w:r>
    </w:p>
    <w:p w14:paraId="69390316" w14:textId="77777777" w:rsidR="00175B16" w:rsidRDefault="00B00615" w:rsidP="00175B16">
      <w:pPr>
        <w:rPr>
          <w:sz w:val="20"/>
          <w:szCs w:val="20"/>
        </w:rPr>
      </w:pPr>
      <w:r w:rsidRPr="00B00615">
        <w:rPr>
          <w:noProof/>
        </w:rPr>
        <w:lastRenderedPageBreak/>
        <w:drawing>
          <wp:inline distT="0" distB="0" distL="0" distR="0" wp14:anchorId="2F63A51A" wp14:editId="1CC1A50C">
            <wp:extent cx="3505200" cy="3057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3057525"/>
                    </a:xfrm>
                    <a:prstGeom prst="rect">
                      <a:avLst/>
                    </a:prstGeom>
                    <a:noFill/>
                    <a:ln>
                      <a:noFill/>
                    </a:ln>
                  </pic:spPr>
                </pic:pic>
              </a:graphicData>
            </a:graphic>
          </wp:inline>
        </w:drawing>
      </w:r>
    </w:p>
    <w:p w14:paraId="4B383FD4" w14:textId="77777777" w:rsidR="005E6A03" w:rsidRDefault="005E6A03" w:rsidP="00175B16">
      <w:pPr>
        <w:rPr>
          <w:b/>
          <w:color w:val="008000"/>
          <w:sz w:val="32"/>
        </w:rPr>
      </w:pPr>
    </w:p>
    <w:p w14:paraId="47F583E1" w14:textId="77777777" w:rsidR="00175B16" w:rsidRDefault="00175B16" w:rsidP="00175B16">
      <w:pPr>
        <w:rPr>
          <w:b/>
          <w:color w:val="008000"/>
          <w:sz w:val="32"/>
        </w:rPr>
      </w:pPr>
      <w:r w:rsidRPr="001C58F3">
        <w:rPr>
          <w:b/>
          <w:color w:val="008000"/>
          <w:sz w:val="32"/>
        </w:rPr>
        <w:t>H</w:t>
      </w:r>
      <w:r>
        <w:rPr>
          <w:b/>
          <w:color w:val="008000"/>
          <w:sz w:val="32"/>
        </w:rPr>
        <w:t>omelessness</w:t>
      </w:r>
    </w:p>
    <w:p w14:paraId="30D11CBD" w14:textId="77777777" w:rsidR="00991C7A" w:rsidRDefault="00991C7A" w:rsidP="00991C7A">
      <w:pPr>
        <w:pStyle w:val="ListParagraph"/>
        <w:numPr>
          <w:ilvl w:val="0"/>
          <w:numId w:val="23"/>
        </w:numPr>
        <w:rPr>
          <w:sz w:val="22"/>
          <w:szCs w:val="22"/>
        </w:rPr>
      </w:pPr>
      <w:r w:rsidRPr="00991C7A">
        <w:rPr>
          <w:sz w:val="22"/>
          <w:szCs w:val="22"/>
        </w:rPr>
        <w:t>P</w:t>
      </w:r>
      <w:r w:rsidR="00EC6EA6">
        <w:rPr>
          <w:sz w:val="22"/>
          <w:szCs w:val="22"/>
        </w:rPr>
        <w:t>eople experiencing homelessness</w:t>
      </w:r>
      <w:r w:rsidRPr="00991C7A">
        <w:rPr>
          <w:sz w:val="22"/>
          <w:szCs w:val="22"/>
        </w:rPr>
        <w:t xml:space="preserve"> and those at risk of homelessness are among Australia’s most socially and economically disadvantaged. </w:t>
      </w:r>
      <w:r w:rsidR="00B93E29">
        <w:rPr>
          <w:sz w:val="22"/>
          <w:szCs w:val="22"/>
        </w:rPr>
        <w:t xml:space="preserve">State, Commonwealth and local government </w:t>
      </w:r>
      <w:r w:rsidRPr="00991C7A">
        <w:rPr>
          <w:sz w:val="22"/>
          <w:szCs w:val="22"/>
        </w:rPr>
        <w:t xml:space="preserve">fund services to support people who are homeless, or at risk of homelessness. Services are delivered mainly by non–government organisations, </w:t>
      </w:r>
      <w:r w:rsidR="00B93E29">
        <w:rPr>
          <w:sz w:val="22"/>
          <w:szCs w:val="22"/>
        </w:rPr>
        <w:t>some of which specialise</w:t>
      </w:r>
      <w:r w:rsidRPr="00991C7A">
        <w:rPr>
          <w:sz w:val="22"/>
          <w:szCs w:val="22"/>
        </w:rPr>
        <w:t xml:space="preserve"> in delivering services to specific groups (such as young people or people experiencing domestic violence).</w:t>
      </w:r>
    </w:p>
    <w:p w14:paraId="61485BDF" w14:textId="77777777" w:rsidR="00991C7A" w:rsidRDefault="00EF7E64" w:rsidP="00991C7A">
      <w:pPr>
        <w:pStyle w:val="ListParagraph"/>
        <w:numPr>
          <w:ilvl w:val="0"/>
          <w:numId w:val="23"/>
        </w:numPr>
        <w:rPr>
          <w:sz w:val="22"/>
          <w:szCs w:val="22"/>
        </w:rPr>
      </w:pPr>
      <w:r>
        <w:rPr>
          <w:sz w:val="22"/>
          <w:szCs w:val="22"/>
        </w:rPr>
        <w:t>In</w:t>
      </w:r>
      <w:r w:rsidR="00991C7A">
        <w:rPr>
          <w:sz w:val="22"/>
          <w:szCs w:val="22"/>
        </w:rPr>
        <w:t>adequate income and inability to access affordable housing are significant contributing factors to homelessness, along with individual factors such as experience of family and domestic violence, ill health and disability.</w:t>
      </w:r>
    </w:p>
    <w:p w14:paraId="2FF9525A" w14:textId="77777777" w:rsidR="000B7DF7" w:rsidRDefault="000B7DF7" w:rsidP="000B7DF7">
      <w:pPr>
        <w:pStyle w:val="ListParagraph"/>
        <w:numPr>
          <w:ilvl w:val="0"/>
          <w:numId w:val="23"/>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0AD92675" w14:textId="77777777" w:rsidR="000B7DF7" w:rsidRDefault="000B7DF7" w:rsidP="000B7DF7">
      <w:pPr>
        <w:pStyle w:val="ListParagraph"/>
        <w:numPr>
          <w:ilvl w:val="1"/>
          <w:numId w:val="23"/>
        </w:numPr>
        <w:rPr>
          <w:sz w:val="22"/>
          <w:szCs w:val="22"/>
        </w:rPr>
      </w:pPr>
      <w:r w:rsidRPr="005E6C46">
        <w:rPr>
          <w:sz w:val="22"/>
          <w:szCs w:val="22"/>
        </w:rPr>
        <w:t>Is in a dwelling that is inadequate;</w:t>
      </w:r>
    </w:p>
    <w:p w14:paraId="47A50F39" w14:textId="77777777" w:rsidR="000B7DF7" w:rsidRDefault="000B7DF7" w:rsidP="000B7DF7">
      <w:pPr>
        <w:pStyle w:val="ListParagraph"/>
        <w:numPr>
          <w:ilvl w:val="1"/>
          <w:numId w:val="23"/>
        </w:numPr>
        <w:rPr>
          <w:sz w:val="22"/>
          <w:szCs w:val="22"/>
        </w:rPr>
      </w:pPr>
      <w:r w:rsidRPr="005E6C46">
        <w:rPr>
          <w:sz w:val="22"/>
          <w:szCs w:val="22"/>
        </w:rPr>
        <w:t>Has no tenure or their initial tenure is short and not extendable; or</w:t>
      </w:r>
    </w:p>
    <w:p w14:paraId="2245EACE" w14:textId="77777777" w:rsidR="000B7DF7" w:rsidRDefault="000B7DF7" w:rsidP="000B7DF7">
      <w:pPr>
        <w:pStyle w:val="ListParagraph"/>
        <w:numPr>
          <w:ilvl w:val="1"/>
          <w:numId w:val="23"/>
        </w:numPr>
        <w:rPr>
          <w:sz w:val="22"/>
          <w:szCs w:val="22"/>
        </w:rPr>
      </w:pPr>
      <w:r w:rsidRPr="005E6C46">
        <w:rPr>
          <w:sz w:val="22"/>
          <w:szCs w:val="22"/>
        </w:rPr>
        <w:t>Does not allow them to have control of and access to space for social relations.”</w:t>
      </w:r>
    </w:p>
    <w:p w14:paraId="6F4DA64B" w14:textId="77777777" w:rsidR="000B7DF7" w:rsidRPr="005E6C46" w:rsidRDefault="000B7DF7" w:rsidP="000B7DF7">
      <w:pPr>
        <w:pStyle w:val="ListParagraph"/>
        <w:numPr>
          <w:ilvl w:val="0"/>
          <w:numId w:val="23"/>
        </w:numPr>
        <w:rPr>
          <w:sz w:val="22"/>
          <w:szCs w:val="22"/>
        </w:rPr>
      </w:pPr>
      <w:r w:rsidRPr="005E6C46">
        <w:rPr>
          <w:sz w:val="22"/>
          <w:szCs w:val="22"/>
        </w:rPr>
        <w:t>The ABS uses “six operational groups for presenting estimates of people experiencing homelessness on Census night:</w:t>
      </w:r>
    </w:p>
    <w:p w14:paraId="10F173B3" w14:textId="77777777" w:rsidR="000B7DF7" w:rsidRDefault="000B7DF7" w:rsidP="000B7DF7">
      <w:pPr>
        <w:pStyle w:val="ListParagraph"/>
        <w:numPr>
          <w:ilvl w:val="1"/>
          <w:numId w:val="23"/>
        </w:numPr>
        <w:rPr>
          <w:sz w:val="22"/>
          <w:szCs w:val="22"/>
        </w:rPr>
      </w:pPr>
      <w:r>
        <w:rPr>
          <w:sz w:val="22"/>
          <w:szCs w:val="22"/>
        </w:rPr>
        <w:t>People living in improvised dwellings, tents or sleeping out</w:t>
      </w:r>
    </w:p>
    <w:p w14:paraId="19F05599" w14:textId="77777777" w:rsidR="000B7DF7" w:rsidRDefault="000B7DF7" w:rsidP="000B7DF7">
      <w:pPr>
        <w:pStyle w:val="ListParagraph"/>
        <w:numPr>
          <w:ilvl w:val="1"/>
          <w:numId w:val="23"/>
        </w:numPr>
        <w:rPr>
          <w:sz w:val="22"/>
          <w:szCs w:val="22"/>
        </w:rPr>
      </w:pPr>
      <w:r>
        <w:rPr>
          <w:sz w:val="22"/>
          <w:szCs w:val="22"/>
        </w:rPr>
        <w:t>People living in supported accommodation for the homeless</w:t>
      </w:r>
    </w:p>
    <w:p w14:paraId="34109192" w14:textId="77777777" w:rsidR="000B7DF7" w:rsidRDefault="000B7DF7" w:rsidP="000B7DF7">
      <w:pPr>
        <w:pStyle w:val="ListParagraph"/>
        <w:numPr>
          <w:ilvl w:val="1"/>
          <w:numId w:val="23"/>
        </w:numPr>
        <w:rPr>
          <w:sz w:val="22"/>
          <w:szCs w:val="22"/>
        </w:rPr>
      </w:pPr>
      <w:r>
        <w:rPr>
          <w:sz w:val="22"/>
          <w:szCs w:val="22"/>
        </w:rPr>
        <w:t>People staying temporarily with other households</w:t>
      </w:r>
    </w:p>
    <w:p w14:paraId="7AAD5059" w14:textId="77777777" w:rsidR="000B7DF7" w:rsidRDefault="000B7DF7" w:rsidP="000B7DF7">
      <w:pPr>
        <w:pStyle w:val="ListParagraph"/>
        <w:numPr>
          <w:ilvl w:val="1"/>
          <w:numId w:val="23"/>
        </w:numPr>
        <w:rPr>
          <w:sz w:val="22"/>
          <w:szCs w:val="22"/>
        </w:rPr>
      </w:pPr>
      <w:r>
        <w:rPr>
          <w:sz w:val="22"/>
          <w:szCs w:val="22"/>
        </w:rPr>
        <w:t>People living in boarding houses</w:t>
      </w:r>
    </w:p>
    <w:p w14:paraId="65F05D04" w14:textId="77777777" w:rsidR="000B7DF7" w:rsidRDefault="000B7DF7" w:rsidP="000B7DF7">
      <w:pPr>
        <w:pStyle w:val="ListParagraph"/>
        <w:numPr>
          <w:ilvl w:val="1"/>
          <w:numId w:val="23"/>
        </w:numPr>
        <w:rPr>
          <w:sz w:val="22"/>
          <w:szCs w:val="22"/>
        </w:rPr>
      </w:pPr>
      <w:r>
        <w:rPr>
          <w:sz w:val="22"/>
          <w:szCs w:val="22"/>
        </w:rPr>
        <w:t>People in other temporary lodgings</w:t>
      </w:r>
    </w:p>
    <w:p w14:paraId="512D57DD" w14:textId="77777777" w:rsidR="000B7DF7" w:rsidRDefault="000B7DF7" w:rsidP="000B7DF7">
      <w:pPr>
        <w:pStyle w:val="ListParagraph"/>
        <w:numPr>
          <w:ilvl w:val="1"/>
          <w:numId w:val="23"/>
        </w:numPr>
        <w:rPr>
          <w:sz w:val="22"/>
          <w:szCs w:val="22"/>
        </w:rPr>
      </w:pPr>
      <w:r>
        <w:rPr>
          <w:sz w:val="22"/>
          <w:szCs w:val="22"/>
        </w:rPr>
        <w:t>People living in ‘severely’ overcrowded dwellings.”</w:t>
      </w:r>
    </w:p>
    <w:p w14:paraId="5390AB53" w14:textId="77777777" w:rsidR="000B7DF7" w:rsidRDefault="000B7DF7" w:rsidP="000B7DF7">
      <w:pPr>
        <w:pStyle w:val="ListParagraph"/>
        <w:numPr>
          <w:ilvl w:val="0"/>
          <w:numId w:val="23"/>
        </w:numPr>
        <w:rPr>
          <w:sz w:val="22"/>
          <w:szCs w:val="22"/>
        </w:rPr>
      </w:pPr>
      <w:r>
        <w:rPr>
          <w:sz w:val="22"/>
          <w:szCs w:val="22"/>
        </w:rPr>
        <w:t>The ABS “also compiles estimates from Census data for the following three groups of people who may be marginally housed but are not classified as homeless:</w:t>
      </w:r>
    </w:p>
    <w:p w14:paraId="70097A86" w14:textId="77777777" w:rsidR="000B7DF7" w:rsidRDefault="000B7DF7" w:rsidP="000B7DF7">
      <w:pPr>
        <w:pStyle w:val="ListParagraph"/>
        <w:numPr>
          <w:ilvl w:val="1"/>
          <w:numId w:val="23"/>
        </w:numPr>
        <w:rPr>
          <w:sz w:val="22"/>
          <w:szCs w:val="22"/>
        </w:rPr>
      </w:pPr>
      <w:r>
        <w:rPr>
          <w:sz w:val="22"/>
          <w:szCs w:val="22"/>
        </w:rPr>
        <w:lastRenderedPageBreak/>
        <w:t>People living in other crowded dwellings</w:t>
      </w:r>
    </w:p>
    <w:p w14:paraId="36AE4BAF" w14:textId="77777777" w:rsidR="000B7DF7" w:rsidRDefault="000B7DF7" w:rsidP="000B7DF7">
      <w:pPr>
        <w:pStyle w:val="ListParagraph"/>
        <w:numPr>
          <w:ilvl w:val="1"/>
          <w:numId w:val="23"/>
        </w:numPr>
        <w:rPr>
          <w:sz w:val="22"/>
          <w:szCs w:val="22"/>
        </w:rPr>
      </w:pPr>
      <w:r>
        <w:rPr>
          <w:sz w:val="22"/>
          <w:szCs w:val="22"/>
        </w:rPr>
        <w:t>People in other improvised dwellings</w:t>
      </w:r>
    </w:p>
    <w:p w14:paraId="579A4CB8" w14:textId="77777777" w:rsidR="000B7DF7" w:rsidRDefault="000B7DF7" w:rsidP="000B7DF7">
      <w:pPr>
        <w:pStyle w:val="ListParagraph"/>
        <w:numPr>
          <w:ilvl w:val="1"/>
          <w:numId w:val="23"/>
        </w:numPr>
        <w:rPr>
          <w:sz w:val="22"/>
          <w:szCs w:val="22"/>
        </w:rPr>
      </w:pPr>
      <w:r>
        <w:rPr>
          <w:sz w:val="22"/>
          <w:szCs w:val="22"/>
        </w:rPr>
        <w:t>People marginally housed in caravan parks.”</w:t>
      </w:r>
    </w:p>
    <w:p w14:paraId="557E0802" w14:textId="77777777" w:rsidR="000B7DF7" w:rsidRDefault="000B7DF7" w:rsidP="000B7DF7">
      <w:pPr>
        <w:pStyle w:val="ListParagraph"/>
        <w:numPr>
          <w:ilvl w:val="0"/>
          <w:numId w:val="23"/>
        </w:numPr>
        <w:rPr>
          <w:sz w:val="22"/>
          <w:szCs w:val="22"/>
        </w:rPr>
      </w:pPr>
      <w:r w:rsidRPr="00937307">
        <w:rPr>
          <w:sz w:val="22"/>
          <w:szCs w:val="22"/>
        </w:rPr>
        <w:t xml:space="preserve">The table below shows that ABS 2021 Census data for the Central Coast on the homeless and marginally housed.  </w:t>
      </w:r>
    </w:p>
    <w:p w14:paraId="5F061469" w14:textId="77777777" w:rsidR="000B7DF7" w:rsidRDefault="000B7DF7" w:rsidP="000B7DF7">
      <w:pPr>
        <w:pStyle w:val="ListParagraph"/>
        <w:numPr>
          <w:ilvl w:val="0"/>
          <w:numId w:val="23"/>
        </w:numPr>
        <w:rPr>
          <w:sz w:val="22"/>
          <w:szCs w:val="22"/>
        </w:rPr>
      </w:pPr>
      <w:r w:rsidRPr="00937307">
        <w:rPr>
          <w:sz w:val="22"/>
          <w:szCs w:val="22"/>
        </w:rPr>
        <w:t>Note that due to additional assistance provided during the pandemic, the number of people counted as homeless on Census night in 2021 i</w:t>
      </w:r>
      <w:r w:rsidR="00637D0C">
        <w:rPr>
          <w:sz w:val="22"/>
          <w:szCs w:val="22"/>
        </w:rPr>
        <w:t xml:space="preserve">s lower than at the 2016 Census across Australia.  Nevertheless there were </w:t>
      </w:r>
      <w:r w:rsidR="00D4519D">
        <w:rPr>
          <w:sz w:val="22"/>
          <w:szCs w:val="22"/>
        </w:rPr>
        <w:t>2,459</w:t>
      </w:r>
      <w:r w:rsidR="00637D0C">
        <w:rPr>
          <w:sz w:val="22"/>
          <w:szCs w:val="22"/>
        </w:rPr>
        <w:t xml:space="preserve"> people counted as homeless in the North Coast at the 2021 Census and a further </w:t>
      </w:r>
      <w:r w:rsidR="00D4519D">
        <w:rPr>
          <w:sz w:val="22"/>
          <w:szCs w:val="22"/>
        </w:rPr>
        <w:t>2,287 who were counted as marginally housed.</w:t>
      </w:r>
    </w:p>
    <w:p w14:paraId="0749D844" w14:textId="77777777" w:rsidR="00D4519D" w:rsidRDefault="00F960A2" w:rsidP="000B7DF7">
      <w:pPr>
        <w:pStyle w:val="ListParagraph"/>
        <w:numPr>
          <w:ilvl w:val="0"/>
          <w:numId w:val="23"/>
        </w:numPr>
        <w:rPr>
          <w:sz w:val="22"/>
          <w:szCs w:val="22"/>
        </w:rPr>
      </w:pPr>
      <w:r>
        <w:rPr>
          <w:sz w:val="22"/>
          <w:szCs w:val="22"/>
        </w:rPr>
        <w:t>Of those who were counted as homeless on the North Coast at the 2021 Census, the largest number were people staying temporarily with other households (697 or 28.3%), followed by people living in severely overcrowded dwellings (566 or 23.0%), then people staying in supported accommodation for the homeless (376 or 15.3%).</w:t>
      </w:r>
    </w:p>
    <w:p w14:paraId="36FA4D32" w14:textId="77777777" w:rsidR="00F960A2" w:rsidRDefault="00F960A2" w:rsidP="000B7DF7">
      <w:pPr>
        <w:pStyle w:val="ListParagraph"/>
        <w:numPr>
          <w:ilvl w:val="0"/>
          <w:numId w:val="23"/>
        </w:numPr>
        <w:rPr>
          <w:sz w:val="22"/>
          <w:szCs w:val="22"/>
        </w:rPr>
      </w:pPr>
      <w:r>
        <w:rPr>
          <w:sz w:val="22"/>
          <w:szCs w:val="22"/>
        </w:rPr>
        <w:t>Of those who were counted as marginally housed, the majority were people living in other crowded dwellings (1,346 or 58.9%).  However, unlike most other regions in NSW, the North Coast also has a significant number of people who are marginally housed in caravan parks (857 or 37.5%).</w:t>
      </w:r>
    </w:p>
    <w:p w14:paraId="3B703C40" w14:textId="77777777" w:rsidR="0003015F" w:rsidRPr="00937307" w:rsidRDefault="0003015F" w:rsidP="000B7DF7">
      <w:pPr>
        <w:pStyle w:val="ListParagraph"/>
        <w:numPr>
          <w:ilvl w:val="0"/>
          <w:numId w:val="23"/>
        </w:numPr>
        <w:rPr>
          <w:sz w:val="22"/>
          <w:szCs w:val="22"/>
        </w:rPr>
      </w:pPr>
      <w:r>
        <w:rPr>
          <w:sz w:val="22"/>
          <w:szCs w:val="22"/>
        </w:rPr>
        <w:t>This indicates the need for more affordable rental housing.</w:t>
      </w:r>
    </w:p>
    <w:p w14:paraId="5BC428DB" w14:textId="77777777" w:rsidR="000B7DF7" w:rsidRDefault="009943DC" w:rsidP="000B7DF7">
      <w:pPr>
        <w:rPr>
          <w:sz w:val="22"/>
          <w:szCs w:val="22"/>
        </w:rPr>
      </w:pPr>
      <w:r w:rsidRPr="009943DC">
        <w:rPr>
          <w:noProof/>
        </w:rPr>
        <w:drawing>
          <wp:inline distT="0" distB="0" distL="0" distR="0" wp14:anchorId="4BE58597" wp14:editId="3F42CF97">
            <wp:extent cx="6105525" cy="2911335"/>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3903" cy="2920098"/>
                    </a:xfrm>
                    <a:prstGeom prst="rect">
                      <a:avLst/>
                    </a:prstGeom>
                    <a:noFill/>
                    <a:ln>
                      <a:noFill/>
                    </a:ln>
                  </pic:spPr>
                </pic:pic>
              </a:graphicData>
            </a:graphic>
          </wp:inline>
        </w:drawing>
      </w:r>
    </w:p>
    <w:p w14:paraId="0F604FF3" w14:textId="77777777" w:rsidR="00D35A18" w:rsidRPr="00B17805" w:rsidRDefault="00D35A18" w:rsidP="00D35A18">
      <w:pPr>
        <w:pStyle w:val="ListParagraph"/>
        <w:numPr>
          <w:ilvl w:val="0"/>
          <w:numId w:val="12"/>
        </w:numPr>
        <w:spacing w:before="0" w:after="0"/>
        <w:rPr>
          <w:sz w:val="22"/>
          <w:szCs w:val="22"/>
        </w:rPr>
      </w:pPr>
      <w:r w:rsidRPr="00B17805">
        <w:rPr>
          <w:sz w:val="22"/>
          <w:szCs w:val="22"/>
        </w:rPr>
        <w:t>The 202</w:t>
      </w:r>
      <w:r w:rsidR="00D123CB">
        <w:rPr>
          <w:sz w:val="22"/>
          <w:szCs w:val="22"/>
        </w:rPr>
        <w:t>3</w:t>
      </w:r>
      <w:r w:rsidRPr="00B17805">
        <w:rPr>
          <w:sz w:val="22"/>
          <w:szCs w:val="22"/>
        </w:rPr>
        <w:t xml:space="preserve"> NSW street count, the NSW Government’s </w:t>
      </w:r>
      <w:r w:rsidR="00D123CB">
        <w:rPr>
          <w:sz w:val="22"/>
          <w:szCs w:val="22"/>
        </w:rPr>
        <w:t>fourth</w:t>
      </w:r>
      <w:r w:rsidRPr="00B17805">
        <w:rPr>
          <w:sz w:val="22"/>
          <w:szCs w:val="22"/>
        </w:rPr>
        <w:t xml:space="preserve"> annual rough sleeping street count, was completed between </w:t>
      </w:r>
      <w:r w:rsidR="00D123CB">
        <w:rPr>
          <w:sz w:val="22"/>
          <w:szCs w:val="22"/>
        </w:rPr>
        <w:t>2</w:t>
      </w:r>
      <w:r w:rsidRPr="00B17805">
        <w:rPr>
          <w:sz w:val="22"/>
          <w:szCs w:val="22"/>
        </w:rPr>
        <w:t xml:space="preserve"> February and 2</w:t>
      </w:r>
      <w:r w:rsidR="00D123CB">
        <w:rPr>
          <w:sz w:val="22"/>
          <w:szCs w:val="22"/>
        </w:rPr>
        <w:t>7</w:t>
      </w:r>
      <w:r w:rsidRPr="00B17805">
        <w:rPr>
          <w:sz w:val="22"/>
          <w:szCs w:val="22"/>
        </w:rPr>
        <w:t xml:space="preserve"> February 202</w:t>
      </w:r>
      <w:r w:rsidR="00D123CB">
        <w:rPr>
          <w:sz w:val="22"/>
          <w:szCs w:val="22"/>
        </w:rPr>
        <w:t>3</w:t>
      </w:r>
      <w:r w:rsidRPr="00B17805">
        <w:rPr>
          <w:sz w:val="22"/>
          <w:szCs w:val="22"/>
        </w:rPr>
        <w:t xml:space="preserve">. </w:t>
      </w:r>
    </w:p>
    <w:p w14:paraId="7CE7D073" w14:textId="77777777" w:rsidR="00D35A18" w:rsidRDefault="00D35A18" w:rsidP="00D35A18">
      <w:pPr>
        <w:pStyle w:val="ListParagraph"/>
        <w:numPr>
          <w:ilvl w:val="0"/>
          <w:numId w:val="12"/>
        </w:numPr>
        <w:spacing w:before="0" w:after="0"/>
        <w:rPr>
          <w:sz w:val="22"/>
          <w:szCs w:val="22"/>
        </w:rPr>
      </w:pPr>
      <w:r>
        <w:rPr>
          <w:sz w:val="22"/>
          <w:szCs w:val="22"/>
        </w:rPr>
        <w:t xml:space="preserve">The table below gives the street count results for the </w:t>
      </w:r>
      <w:r w:rsidR="00E72B1C">
        <w:rPr>
          <w:sz w:val="22"/>
          <w:szCs w:val="22"/>
        </w:rPr>
        <w:t>North Coast region</w:t>
      </w:r>
      <w:r>
        <w:rPr>
          <w:sz w:val="22"/>
          <w:szCs w:val="22"/>
        </w:rPr>
        <w:t xml:space="preserve"> locations.</w:t>
      </w:r>
    </w:p>
    <w:p w14:paraId="6434CE4D" w14:textId="77777777" w:rsidR="00D123CB" w:rsidRPr="00C8457E" w:rsidRDefault="00D123CB" w:rsidP="00D123CB">
      <w:pPr>
        <w:pStyle w:val="ListParagraph"/>
        <w:numPr>
          <w:ilvl w:val="0"/>
          <w:numId w:val="12"/>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Organisation</w:t>
      </w:r>
      <w:r w:rsidR="00034487">
        <w:rPr>
          <w:sz w:val="22"/>
          <w:szCs w:val="22"/>
        </w:rPr>
        <w:t>s</w:t>
      </w:r>
      <w:r>
        <w:rPr>
          <w:sz w:val="22"/>
          <w:szCs w:val="22"/>
        </w:rPr>
        <w:t xml:space="preserve">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58DB49FF" w14:textId="77777777" w:rsidR="00D123CB" w:rsidRDefault="00D123CB" w:rsidP="00D123CB">
      <w:pPr>
        <w:pStyle w:val="ListParagraph"/>
        <w:numPr>
          <w:ilvl w:val="0"/>
          <w:numId w:val="12"/>
        </w:numPr>
        <w:spacing w:before="0" w:after="0"/>
        <w:rPr>
          <w:sz w:val="22"/>
          <w:szCs w:val="22"/>
        </w:rPr>
      </w:pPr>
      <w:r w:rsidRPr="00B17805">
        <w:rPr>
          <w:sz w:val="22"/>
          <w:szCs w:val="22"/>
        </w:rPr>
        <w:lastRenderedPageBreak/>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6FB2964C" w14:textId="77777777" w:rsidR="00D123CB" w:rsidRDefault="00D123CB" w:rsidP="00D123CB">
      <w:pPr>
        <w:pStyle w:val="ListParagraph"/>
        <w:numPr>
          <w:ilvl w:val="0"/>
          <w:numId w:val="12"/>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313CD992" w14:textId="77777777" w:rsidR="00AE3ABC" w:rsidRPr="00D123CB" w:rsidRDefault="00AE3ABC" w:rsidP="00D123CB">
      <w:pPr>
        <w:pStyle w:val="ListParagraph"/>
        <w:numPr>
          <w:ilvl w:val="0"/>
          <w:numId w:val="12"/>
        </w:numPr>
        <w:spacing w:before="0" w:after="0"/>
        <w:rPr>
          <w:sz w:val="22"/>
          <w:szCs w:val="22"/>
        </w:rPr>
      </w:pPr>
      <w:r>
        <w:rPr>
          <w:sz w:val="22"/>
          <w:szCs w:val="22"/>
        </w:rPr>
        <w:t>Most North Coast LGAs saw a significant increase in the number of people sleeping rough in 2023 compared with 2022.</w:t>
      </w:r>
    </w:p>
    <w:p w14:paraId="0673888A" w14:textId="77777777" w:rsidR="00D35A18" w:rsidRDefault="00D123CB" w:rsidP="00D35A18">
      <w:pPr>
        <w:ind w:left="360"/>
        <w:rPr>
          <w:b/>
          <w:sz w:val="20"/>
          <w:szCs w:val="20"/>
        </w:rPr>
      </w:pPr>
      <w:r w:rsidRPr="00D123CB">
        <w:rPr>
          <w:noProof/>
        </w:rPr>
        <w:drawing>
          <wp:inline distT="0" distB="0" distL="0" distR="0" wp14:anchorId="0122B69D" wp14:editId="2BC467F3">
            <wp:extent cx="5528798" cy="256507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793" cy="2567851"/>
                    </a:xfrm>
                    <a:prstGeom prst="rect">
                      <a:avLst/>
                    </a:prstGeom>
                    <a:noFill/>
                    <a:ln>
                      <a:noFill/>
                    </a:ln>
                  </pic:spPr>
                </pic:pic>
              </a:graphicData>
            </a:graphic>
          </wp:inline>
        </w:drawing>
      </w:r>
    </w:p>
    <w:p w14:paraId="1949C916" w14:textId="77777777" w:rsidR="00D35A18" w:rsidRPr="004064FD" w:rsidRDefault="00D35A18" w:rsidP="00D35A18">
      <w:pPr>
        <w:ind w:left="360"/>
        <w:rPr>
          <w:sz w:val="20"/>
          <w:szCs w:val="20"/>
        </w:rPr>
      </w:pPr>
      <w:r w:rsidRPr="00D35A18">
        <w:rPr>
          <w:b/>
          <w:sz w:val="20"/>
          <w:szCs w:val="20"/>
        </w:rPr>
        <w:t>*</w:t>
      </w:r>
      <w:r w:rsidRPr="004064FD">
        <w:rPr>
          <w:sz w:val="20"/>
          <w:szCs w:val="20"/>
        </w:rPr>
        <w:t>Byron Bay Shire result for 2022 excludes Brunswick Heads, Mullumbimby and surrounding areas as counts were unable to be completed in these areas due</w:t>
      </w:r>
      <w:r w:rsidR="004064FD" w:rsidRPr="004064FD">
        <w:rPr>
          <w:sz w:val="20"/>
          <w:szCs w:val="20"/>
        </w:rPr>
        <w:t xml:space="preserve"> </w:t>
      </w:r>
      <w:r w:rsidRPr="004064FD">
        <w:rPr>
          <w:sz w:val="20"/>
          <w:szCs w:val="20"/>
        </w:rPr>
        <w:t>to extreme weather</w:t>
      </w:r>
      <w:r w:rsidR="00D123CB">
        <w:rPr>
          <w:sz w:val="20"/>
          <w:szCs w:val="20"/>
        </w:rPr>
        <w:t>.</w:t>
      </w:r>
    </w:p>
    <w:p w14:paraId="3EB41840" w14:textId="77777777" w:rsidR="00AE7239" w:rsidRDefault="00AE7239" w:rsidP="00175B16">
      <w:pPr>
        <w:rPr>
          <w:b/>
          <w:sz w:val="20"/>
          <w:szCs w:val="20"/>
        </w:rPr>
      </w:pPr>
    </w:p>
    <w:p w14:paraId="1E131F20" w14:textId="77777777" w:rsidR="009E2317" w:rsidRDefault="009E2317" w:rsidP="009E2317">
      <w:pPr>
        <w:pStyle w:val="Heading2"/>
        <w:rPr>
          <w:b w:val="0"/>
        </w:rPr>
      </w:pPr>
      <w:r>
        <w:t>People with Disability</w:t>
      </w:r>
    </w:p>
    <w:p w14:paraId="5E9DDA3A" w14:textId="77777777" w:rsidR="009E2317" w:rsidRDefault="008632AE" w:rsidP="008632AE">
      <w:pPr>
        <w:pStyle w:val="ListParagraph"/>
        <w:numPr>
          <w:ilvl w:val="0"/>
          <w:numId w:val="22"/>
        </w:numPr>
        <w:rPr>
          <w:sz w:val="22"/>
          <w:szCs w:val="22"/>
        </w:rPr>
      </w:pPr>
      <w:r w:rsidRPr="008632AE">
        <w:rPr>
          <w:sz w:val="22"/>
          <w:szCs w:val="22"/>
        </w:rPr>
        <w:t>According to the Australian Institute of Health and Welfare (AIHW)</w:t>
      </w:r>
      <w:r w:rsidR="00CC61A7">
        <w:rPr>
          <w:sz w:val="22"/>
          <w:szCs w:val="22"/>
        </w:rPr>
        <w:t xml:space="preserve"> and</w:t>
      </w:r>
      <w:r w:rsidR="00815E64">
        <w:rPr>
          <w:sz w:val="22"/>
          <w:szCs w:val="22"/>
        </w:rPr>
        <w:t xml:space="preserve">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68C9C779" w14:textId="77777777" w:rsidR="008632AE" w:rsidRDefault="008632AE" w:rsidP="004029DC">
      <w:pPr>
        <w:pStyle w:val="ListParagraph"/>
        <w:numPr>
          <w:ilvl w:val="0"/>
          <w:numId w:val="22"/>
        </w:numPr>
        <w:rPr>
          <w:sz w:val="22"/>
          <w:szCs w:val="22"/>
        </w:rPr>
      </w:pPr>
      <w:r>
        <w:rPr>
          <w:sz w:val="22"/>
          <w:szCs w:val="22"/>
        </w:rPr>
        <w:t>Nearly one third (32%) of people with disability have severe or profound disability.</w:t>
      </w:r>
      <w:r w:rsidR="004029DC">
        <w:rPr>
          <w:sz w:val="22"/>
          <w:szCs w:val="22"/>
        </w:rPr>
        <w:t xml:space="preserve">  </w:t>
      </w:r>
      <w:r w:rsidR="004029DC"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sidR="004029DC">
        <w:rPr>
          <w:sz w:val="22"/>
          <w:szCs w:val="22"/>
        </w:rPr>
        <w:t>.</w:t>
      </w:r>
    </w:p>
    <w:p w14:paraId="1FF65615" w14:textId="77777777" w:rsidR="00815E64" w:rsidRDefault="00815E64" w:rsidP="004029DC">
      <w:pPr>
        <w:pStyle w:val="ListParagraph"/>
        <w:numPr>
          <w:ilvl w:val="0"/>
          <w:numId w:val="22"/>
        </w:numPr>
        <w:rPr>
          <w:sz w:val="22"/>
          <w:szCs w:val="22"/>
        </w:rPr>
      </w:pPr>
      <w:r>
        <w:rPr>
          <w:sz w:val="22"/>
          <w:szCs w:val="22"/>
        </w:rPr>
        <w:t>The survey data shows:</w:t>
      </w:r>
    </w:p>
    <w:p w14:paraId="48513766" w14:textId="77777777" w:rsidR="004029DC" w:rsidRPr="004029DC" w:rsidRDefault="004029DC" w:rsidP="00815E64">
      <w:pPr>
        <w:pStyle w:val="ListParagraph"/>
        <w:numPr>
          <w:ilvl w:val="1"/>
          <w:numId w:val="22"/>
        </w:numPr>
        <w:rPr>
          <w:sz w:val="22"/>
          <w:szCs w:val="22"/>
        </w:rPr>
      </w:pPr>
      <w:r w:rsidRPr="004029DC">
        <w:rPr>
          <w:sz w:val="22"/>
          <w:szCs w:val="22"/>
        </w:rPr>
        <w:t>7.6% of children aged 0–14 have disability</w:t>
      </w:r>
    </w:p>
    <w:p w14:paraId="6EC720BD" w14:textId="77777777" w:rsidR="004029DC" w:rsidRPr="004029DC" w:rsidRDefault="004029DC" w:rsidP="00815E64">
      <w:pPr>
        <w:pStyle w:val="ListParagraph"/>
        <w:numPr>
          <w:ilvl w:val="1"/>
          <w:numId w:val="22"/>
        </w:numPr>
        <w:rPr>
          <w:sz w:val="22"/>
          <w:szCs w:val="22"/>
        </w:rPr>
      </w:pPr>
      <w:r w:rsidRPr="004029DC">
        <w:rPr>
          <w:sz w:val="22"/>
          <w:szCs w:val="22"/>
        </w:rPr>
        <w:t>9.3% of people aged 15–24 have disability</w:t>
      </w:r>
    </w:p>
    <w:p w14:paraId="683FE6F2" w14:textId="77777777" w:rsidR="004029DC" w:rsidRPr="004029DC" w:rsidRDefault="004029DC" w:rsidP="00815E64">
      <w:pPr>
        <w:pStyle w:val="ListParagraph"/>
        <w:numPr>
          <w:ilvl w:val="1"/>
          <w:numId w:val="22"/>
        </w:numPr>
        <w:rPr>
          <w:sz w:val="22"/>
          <w:szCs w:val="22"/>
        </w:rPr>
      </w:pPr>
      <w:r w:rsidRPr="004029DC">
        <w:rPr>
          <w:sz w:val="22"/>
          <w:szCs w:val="22"/>
        </w:rPr>
        <w:t>13% of people aged 15–64 have disability</w:t>
      </w:r>
    </w:p>
    <w:p w14:paraId="768BCE84" w14:textId="77777777" w:rsidR="004029DC" w:rsidRDefault="004029DC" w:rsidP="00815E64">
      <w:pPr>
        <w:pStyle w:val="ListParagraph"/>
        <w:numPr>
          <w:ilvl w:val="1"/>
          <w:numId w:val="22"/>
        </w:numPr>
        <w:rPr>
          <w:sz w:val="22"/>
          <w:szCs w:val="22"/>
        </w:rPr>
      </w:pPr>
      <w:r w:rsidRPr="004029DC">
        <w:rPr>
          <w:sz w:val="22"/>
          <w:szCs w:val="22"/>
        </w:rPr>
        <w:t>50% of people aged 65 and over have disability (ABS 2019b).</w:t>
      </w:r>
    </w:p>
    <w:p w14:paraId="6C7EA0C7" w14:textId="77777777" w:rsidR="004029DC" w:rsidRDefault="004029DC" w:rsidP="00762B39">
      <w:pPr>
        <w:pStyle w:val="ListParagraph"/>
        <w:numPr>
          <w:ilvl w:val="0"/>
          <w:numId w:val="22"/>
        </w:numPr>
        <w:rPr>
          <w:sz w:val="22"/>
          <w:szCs w:val="22"/>
        </w:rPr>
      </w:pPr>
      <w:r w:rsidRPr="00815E64">
        <w:rPr>
          <w:sz w:val="22"/>
          <w:szCs w:val="22"/>
        </w:rPr>
        <w:t xml:space="preserve">For about 3 in 4 (77%) people with disability, the main type of disability </w:t>
      </w:r>
      <w:r w:rsidR="00815E64" w:rsidRPr="00815E64">
        <w:rPr>
          <w:sz w:val="22"/>
          <w:szCs w:val="22"/>
        </w:rPr>
        <w:t>is physical, while for the</w:t>
      </w:r>
      <w:r w:rsidRPr="00815E64">
        <w:rPr>
          <w:sz w:val="22"/>
          <w:szCs w:val="22"/>
        </w:rPr>
        <w:t xml:space="preserve"> remaining 1 in 4 (23%), the main type of disability is mental or behavioural.</w:t>
      </w:r>
    </w:p>
    <w:p w14:paraId="50EAD1D3" w14:textId="77777777" w:rsidR="006B44CA" w:rsidRDefault="006B44CA" w:rsidP="00175B16">
      <w:pPr>
        <w:pStyle w:val="ListParagraph"/>
        <w:numPr>
          <w:ilvl w:val="0"/>
          <w:numId w:val="22"/>
        </w:numPr>
        <w:rPr>
          <w:sz w:val="22"/>
          <w:szCs w:val="22"/>
        </w:rPr>
      </w:pPr>
      <w:r w:rsidRPr="006B44CA">
        <w:rPr>
          <w:sz w:val="22"/>
          <w:szCs w:val="22"/>
        </w:rPr>
        <w:t xml:space="preserve">Clearly housing is a significant factor in </w:t>
      </w:r>
      <w:r w:rsidR="00606A89" w:rsidRPr="006B44CA">
        <w:rPr>
          <w:sz w:val="22"/>
          <w:szCs w:val="22"/>
        </w:rPr>
        <w:t>the health and well</w:t>
      </w:r>
      <w:r w:rsidRPr="006B44CA">
        <w:rPr>
          <w:sz w:val="22"/>
          <w:szCs w:val="22"/>
        </w:rPr>
        <w:t>being of people with disability</w:t>
      </w:r>
      <w:r w:rsidR="00606A89" w:rsidRPr="006B44CA">
        <w:rPr>
          <w:sz w:val="22"/>
          <w:szCs w:val="22"/>
        </w:rPr>
        <w:t xml:space="preserve">. The availability of affordable, sustainable and appropriate housing helps people with disability to participate in the social, economic and community </w:t>
      </w:r>
      <w:r w:rsidR="00606A89" w:rsidRPr="006B44CA">
        <w:rPr>
          <w:sz w:val="22"/>
          <w:szCs w:val="22"/>
        </w:rPr>
        <w:lastRenderedPageBreak/>
        <w:t>aspects of everyday life.</w:t>
      </w:r>
      <w:r w:rsidRPr="006B44CA">
        <w:rPr>
          <w:sz w:val="22"/>
          <w:szCs w:val="22"/>
        </w:rPr>
        <w:t xml:space="preserve"> </w:t>
      </w:r>
      <w:r>
        <w:rPr>
          <w:sz w:val="22"/>
          <w:szCs w:val="22"/>
        </w:rPr>
        <w:t>Someone without</w:t>
      </w:r>
      <w:r w:rsidR="00606A89" w:rsidRPr="006B44CA">
        <w:rPr>
          <w:sz w:val="22"/>
          <w:szCs w:val="22"/>
        </w:rPr>
        <w:t xml:space="preserve"> access to affordable, secure and appropriate housing </w:t>
      </w:r>
      <w:r>
        <w:rPr>
          <w:sz w:val="22"/>
          <w:szCs w:val="22"/>
        </w:rPr>
        <w:t xml:space="preserve">is more likely to </w:t>
      </w:r>
      <w:r w:rsidR="00606A89" w:rsidRPr="006B44CA">
        <w:rPr>
          <w:sz w:val="22"/>
          <w:szCs w:val="22"/>
        </w:rPr>
        <w:t>experience homelessness, poor health, and lower rates of employment and education</w:t>
      </w:r>
      <w:r>
        <w:rPr>
          <w:sz w:val="22"/>
          <w:szCs w:val="22"/>
        </w:rPr>
        <w:t>.</w:t>
      </w:r>
    </w:p>
    <w:p w14:paraId="5B807C45" w14:textId="77777777" w:rsidR="006B44CA" w:rsidRDefault="00606A89" w:rsidP="00175B16">
      <w:pPr>
        <w:pStyle w:val="ListParagraph"/>
        <w:numPr>
          <w:ilvl w:val="0"/>
          <w:numId w:val="22"/>
        </w:numPr>
        <w:rPr>
          <w:sz w:val="22"/>
          <w:szCs w:val="22"/>
        </w:rPr>
      </w:pPr>
      <w:r w:rsidRPr="006B44CA">
        <w:rPr>
          <w:sz w:val="22"/>
          <w:szCs w:val="22"/>
        </w:rPr>
        <w:t>While most people with disability live at home in the community (</w:t>
      </w:r>
      <w:r w:rsidR="00CC61A7">
        <w:rPr>
          <w:sz w:val="22"/>
          <w:szCs w:val="22"/>
        </w:rPr>
        <w:t xml:space="preserve">96% </w:t>
      </w:r>
      <w:r w:rsidRPr="006B44CA">
        <w:rPr>
          <w:sz w:val="22"/>
          <w:szCs w:val="22"/>
        </w:rPr>
        <w:t>in private dwellings), some live in cared accommodation.</w:t>
      </w:r>
    </w:p>
    <w:p w14:paraId="6B2C3D21" w14:textId="77777777" w:rsidR="00CC61A7" w:rsidRDefault="00606A89" w:rsidP="00606A89">
      <w:pPr>
        <w:pStyle w:val="ListParagraph"/>
        <w:numPr>
          <w:ilvl w:val="0"/>
          <w:numId w:val="22"/>
        </w:numPr>
        <w:rPr>
          <w:sz w:val="22"/>
          <w:szCs w:val="22"/>
        </w:rPr>
      </w:pPr>
      <w:r w:rsidRPr="006B44CA">
        <w:rPr>
          <w:sz w:val="22"/>
          <w:szCs w:val="22"/>
        </w:rPr>
        <w:t>Cared accommodation is usually long term and may be institutional in style</w:t>
      </w:r>
      <w:r w:rsidR="006B44CA">
        <w:rPr>
          <w:sz w:val="22"/>
          <w:szCs w:val="22"/>
        </w:rPr>
        <w:t xml:space="preserve">, including </w:t>
      </w:r>
      <w:r w:rsidRPr="006B44CA">
        <w:rPr>
          <w:sz w:val="22"/>
          <w:szCs w:val="22"/>
        </w:rPr>
        <w:t>hospitals, residential aged care, care</w:t>
      </w:r>
      <w:r w:rsidR="003464B0">
        <w:rPr>
          <w:sz w:val="22"/>
          <w:szCs w:val="22"/>
        </w:rPr>
        <w:t>d</w:t>
      </w:r>
      <w:r w:rsidRPr="006B44CA">
        <w:rPr>
          <w:sz w:val="22"/>
          <w:szCs w:val="22"/>
        </w:rPr>
        <w:t xml:space="preserve"> components of retirement villages, aged care ho</w:t>
      </w:r>
      <w:r w:rsidR="0067793E">
        <w:rPr>
          <w:sz w:val="22"/>
          <w:szCs w:val="22"/>
        </w:rPr>
        <w:t>stels, psychiatric institutions and</w:t>
      </w:r>
      <w:r w:rsidRPr="006B44CA">
        <w:rPr>
          <w:sz w:val="22"/>
          <w:szCs w:val="22"/>
        </w:rPr>
        <w:t xml:space="preserve"> </w:t>
      </w:r>
      <w:r w:rsidR="0067793E">
        <w:rPr>
          <w:sz w:val="22"/>
          <w:szCs w:val="22"/>
        </w:rPr>
        <w:t>group homes for people with disability</w:t>
      </w:r>
      <w:r w:rsidRPr="006B44CA">
        <w:rPr>
          <w:sz w:val="22"/>
          <w:szCs w:val="22"/>
        </w:rPr>
        <w:t>.</w:t>
      </w:r>
      <w:r w:rsidR="00CC61A7">
        <w:rPr>
          <w:sz w:val="22"/>
          <w:szCs w:val="22"/>
        </w:rPr>
        <w:t xml:space="preserve">  </w:t>
      </w:r>
      <w:r w:rsidR="00CC61A7" w:rsidRPr="00815E64">
        <w:rPr>
          <w:sz w:val="22"/>
          <w:szCs w:val="22"/>
        </w:rPr>
        <w:t>The more severe a person’s disability is, the more likely they are to live in cared accommodation and the less likely they are to live in the community</w:t>
      </w:r>
      <w:r w:rsidR="00CC61A7">
        <w:rPr>
          <w:sz w:val="22"/>
          <w:szCs w:val="22"/>
        </w:rPr>
        <w:t>.</w:t>
      </w:r>
    </w:p>
    <w:p w14:paraId="1B320191" w14:textId="77777777" w:rsidR="00606A89" w:rsidRDefault="00690F02" w:rsidP="00CC61A7">
      <w:pPr>
        <w:pStyle w:val="ListParagraph"/>
        <w:numPr>
          <w:ilvl w:val="0"/>
          <w:numId w:val="22"/>
        </w:numPr>
        <w:rPr>
          <w:b/>
          <w:sz w:val="20"/>
          <w:szCs w:val="20"/>
        </w:rPr>
      </w:pPr>
      <w:r>
        <w:rPr>
          <w:sz w:val="22"/>
          <w:szCs w:val="22"/>
        </w:rPr>
        <w:t xml:space="preserve">There has been </w:t>
      </w:r>
      <w:r w:rsidR="00606A89" w:rsidRPr="00CC61A7">
        <w:rPr>
          <w:sz w:val="22"/>
          <w:szCs w:val="22"/>
        </w:rPr>
        <w:t xml:space="preserve">a </w:t>
      </w:r>
      <w:r>
        <w:rPr>
          <w:sz w:val="22"/>
          <w:szCs w:val="22"/>
        </w:rPr>
        <w:t>significant</w:t>
      </w:r>
      <w:r w:rsidR="00606A89" w:rsidRPr="00CC61A7">
        <w:rPr>
          <w:sz w:val="22"/>
          <w:szCs w:val="22"/>
        </w:rPr>
        <w:t xml:space="preserve"> shift towards supporting people with disability to live in private dwellings</w:t>
      </w:r>
      <w:r>
        <w:rPr>
          <w:sz w:val="22"/>
          <w:szCs w:val="22"/>
        </w:rPr>
        <w:t>, rather than being in institutional care over recent decades</w:t>
      </w:r>
      <w:r w:rsidR="00606A89" w:rsidRPr="00CC61A7">
        <w:rPr>
          <w:sz w:val="22"/>
          <w:szCs w:val="22"/>
        </w:rPr>
        <w:t xml:space="preserve">. </w:t>
      </w:r>
      <w:r w:rsidR="0067793E">
        <w:rPr>
          <w:sz w:val="22"/>
          <w:szCs w:val="22"/>
        </w:rPr>
        <w:t>Largely this has</w:t>
      </w:r>
      <w:r w:rsidR="00606A89" w:rsidRPr="00CC61A7">
        <w:rPr>
          <w:sz w:val="22"/>
          <w:szCs w:val="22"/>
        </w:rPr>
        <w:t xml:space="preserve"> been driven by changes for young people with disability. </w:t>
      </w:r>
    </w:p>
    <w:p w14:paraId="6872E4C6" w14:textId="77777777" w:rsidR="00606A89" w:rsidRDefault="00606A89" w:rsidP="00606A89">
      <w:pPr>
        <w:rPr>
          <w:b/>
          <w:sz w:val="20"/>
          <w:szCs w:val="20"/>
        </w:rPr>
      </w:pPr>
    </w:p>
    <w:p w14:paraId="1ABF7C9D" w14:textId="77777777" w:rsidR="00606A89" w:rsidRDefault="00606A89" w:rsidP="00606A89">
      <w:pPr>
        <w:rPr>
          <w:b/>
          <w:sz w:val="20"/>
          <w:szCs w:val="20"/>
        </w:rPr>
      </w:pPr>
    </w:p>
    <w:p w14:paraId="3F1C501A" w14:textId="77777777" w:rsidR="00AE7239" w:rsidRDefault="00AE7239" w:rsidP="00AE7239">
      <w:pPr>
        <w:pStyle w:val="Heading2"/>
      </w:pPr>
      <w:r>
        <w:t>Additional Data</w:t>
      </w:r>
    </w:p>
    <w:p w14:paraId="3C39D0B5" w14:textId="77777777" w:rsidR="001E1F84" w:rsidRPr="00175B16" w:rsidRDefault="001E1F84" w:rsidP="001E1F84">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110892BD" w14:textId="77777777" w:rsidR="001E1F84" w:rsidRDefault="00D96017" w:rsidP="001E1F84">
      <w:pPr>
        <w:rPr>
          <w:rStyle w:val="Hyperlink"/>
          <w:sz w:val="22"/>
          <w:szCs w:val="22"/>
        </w:rPr>
      </w:pPr>
      <w:hyperlink r:id="rId21" w:history="1">
        <w:r w:rsidR="001E1F84" w:rsidRPr="00175B16">
          <w:rPr>
            <w:rStyle w:val="Hyperlink"/>
            <w:sz w:val="22"/>
            <w:szCs w:val="22"/>
          </w:rPr>
          <w:t>https://www.facs.nsw.gov.au/resources/nsw-local-government-housing-kit/chapters/local-government-housing-kit-database</w:t>
        </w:r>
      </w:hyperlink>
    </w:p>
    <w:p w14:paraId="10F20E1E" w14:textId="77777777" w:rsidR="001E1F84" w:rsidRDefault="001E1F84" w:rsidP="001E1F84">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311443E1" w14:textId="77777777" w:rsidR="001E1F84" w:rsidRDefault="001E1F84" w:rsidP="001E1F84">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717CE44E" w14:textId="77777777" w:rsidR="001E1F84" w:rsidRDefault="00D96017" w:rsidP="001E1F84">
      <w:pPr>
        <w:rPr>
          <w:rStyle w:val="Hyperlink"/>
          <w:sz w:val="22"/>
          <w:szCs w:val="22"/>
        </w:rPr>
      </w:pPr>
      <w:hyperlink r:id="rId22" w:history="1">
        <w:r w:rsidR="001E1F84" w:rsidRPr="00E22625">
          <w:rPr>
            <w:rStyle w:val="Hyperlink"/>
            <w:sz w:val="22"/>
            <w:szCs w:val="22"/>
          </w:rPr>
          <w:t>https://www.aihw.gov.au/reports/older-people/older-australians/contents/housing-and-living-arrangements</w:t>
        </w:r>
      </w:hyperlink>
    </w:p>
    <w:p w14:paraId="5F4F6ECF" w14:textId="77777777" w:rsidR="001E1F84" w:rsidRPr="004029DC" w:rsidRDefault="001E1F84" w:rsidP="001E1F84">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055AD963" w14:textId="77777777" w:rsidR="001E1F84" w:rsidRDefault="00D96017" w:rsidP="001E1F84">
      <w:pPr>
        <w:rPr>
          <w:sz w:val="22"/>
          <w:szCs w:val="22"/>
        </w:rPr>
      </w:pPr>
      <w:hyperlink r:id="rId23" w:history="1">
        <w:r w:rsidR="001E1F84" w:rsidRPr="00755D0F">
          <w:rPr>
            <w:rStyle w:val="Hyperlink"/>
            <w:sz w:val="22"/>
            <w:szCs w:val="22"/>
          </w:rPr>
          <w:t>https://www.aihw.gov.au/reports/disability/people-with-disability-in-australia/contents/people-with-disability/prevalence-of-disability</w:t>
        </w:r>
      </w:hyperlink>
    </w:p>
    <w:p w14:paraId="09526ACF" w14:textId="77777777" w:rsidR="001E1F84" w:rsidRDefault="001E1F84" w:rsidP="001E1F84">
      <w:pPr>
        <w:rPr>
          <w:sz w:val="22"/>
          <w:szCs w:val="22"/>
        </w:rPr>
      </w:pPr>
      <w:r>
        <w:rPr>
          <w:sz w:val="22"/>
          <w:szCs w:val="22"/>
        </w:rPr>
        <w:t>and relating to housing needs</w:t>
      </w:r>
    </w:p>
    <w:p w14:paraId="39D83162" w14:textId="77777777" w:rsidR="001E1F84" w:rsidRDefault="00D96017" w:rsidP="001E1F84">
      <w:pPr>
        <w:rPr>
          <w:sz w:val="22"/>
          <w:szCs w:val="22"/>
        </w:rPr>
      </w:pPr>
      <w:hyperlink r:id="rId24" w:history="1">
        <w:r w:rsidR="001E1F84" w:rsidRPr="00755D0F">
          <w:rPr>
            <w:rStyle w:val="Hyperlink"/>
            <w:sz w:val="22"/>
            <w:szCs w:val="22"/>
          </w:rPr>
          <w:t>https://www.aihw.gov.au/reports/disability/people-with-disability-in-australia/contents/housing</w:t>
        </w:r>
      </w:hyperlink>
    </w:p>
    <w:p w14:paraId="35EB608F" w14:textId="77777777" w:rsidR="001E1F84" w:rsidRPr="00175B16" w:rsidRDefault="001E1F84" w:rsidP="001E1F84">
      <w:pPr>
        <w:rPr>
          <w:sz w:val="22"/>
          <w:szCs w:val="22"/>
        </w:rPr>
      </w:pPr>
      <w:r>
        <w:rPr>
          <w:sz w:val="22"/>
          <w:szCs w:val="22"/>
        </w:rPr>
        <w:t>T</w:t>
      </w:r>
      <w:r w:rsidRPr="00175B16">
        <w:rPr>
          <w:sz w:val="22"/>
          <w:szCs w:val="22"/>
        </w:rPr>
        <w:t>he Productivity Commission’s report Housing Decisions of Older Australians is at:</w:t>
      </w:r>
    </w:p>
    <w:p w14:paraId="21E40D44" w14:textId="77777777" w:rsidR="001E1F84" w:rsidRPr="00175B16" w:rsidRDefault="00D96017" w:rsidP="001E1F84">
      <w:pPr>
        <w:rPr>
          <w:sz w:val="22"/>
          <w:szCs w:val="22"/>
        </w:rPr>
      </w:pPr>
      <w:hyperlink r:id="rId25" w:history="1">
        <w:r w:rsidR="001E1F84" w:rsidRPr="00175B16">
          <w:rPr>
            <w:rStyle w:val="Hyperlink"/>
            <w:sz w:val="22"/>
            <w:szCs w:val="22"/>
          </w:rPr>
          <w:t>https://www.pc.gov.au/research/completed/housing-decisions-older-australians</w:t>
        </w:r>
      </w:hyperlink>
    </w:p>
    <w:p w14:paraId="44DDAFD6" w14:textId="77777777" w:rsidR="001E1F84" w:rsidRDefault="001E1F84" w:rsidP="001E1F84">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07AF7F2F" w14:textId="77777777" w:rsidR="001E1F84" w:rsidRPr="007A567E" w:rsidRDefault="00D96017" w:rsidP="001E1F84">
      <w:pPr>
        <w:rPr>
          <w:rFonts w:cs="Arial"/>
          <w:color w:val="1F497D"/>
          <w:sz w:val="22"/>
          <w:szCs w:val="22"/>
          <w:lang w:eastAsia="en-US"/>
        </w:rPr>
      </w:pPr>
      <w:hyperlink r:id="rId26" w:history="1">
        <w:r w:rsidR="001E1F84" w:rsidRPr="007A567E">
          <w:rPr>
            <w:rStyle w:val="Hyperlink"/>
            <w:rFonts w:cs="Arial"/>
            <w:sz w:val="22"/>
            <w:szCs w:val="22"/>
            <w:lang w:eastAsia="en-US"/>
          </w:rPr>
          <w:t>https://www.planning.nsw.gov.au/Research-and-Demography/Population-Projections/Projections</w:t>
        </w:r>
      </w:hyperlink>
    </w:p>
    <w:p w14:paraId="72AEEAC3" w14:textId="77777777" w:rsidR="001E1F84" w:rsidRPr="007A567E" w:rsidRDefault="00D96017" w:rsidP="001E1F84">
      <w:pPr>
        <w:rPr>
          <w:rFonts w:cs="Arial"/>
          <w:color w:val="1F497D"/>
          <w:sz w:val="22"/>
          <w:szCs w:val="22"/>
          <w:lang w:eastAsia="en-US"/>
        </w:rPr>
      </w:pPr>
      <w:hyperlink r:id="rId27" w:history="1">
        <w:r w:rsidR="001E1F84" w:rsidRPr="007A567E">
          <w:rPr>
            <w:rStyle w:val="Hyperlink"/>
            <w:rFonts w:cs="Arial"/>
            <w:sz w:val="22"/>
            <w:szCs w:val="22"/>
            <w:lang w:eastAsia="en-US"/>
          </w:rPr>
          <w:t>https://pp.planningportal.nsw.gov.au/populations</w:t>
        </w:r>
      </w:hyperlink>
    </w:p>
    <w:p w14:paraId="3B713FFD" w14:textId="77777777" w:rsidR="001E1F84" w:rsidRDefault="001E1F84" w:rsidP="001E1F84">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02B09E36" w14:textId="77777777" w:rsidR="001E1F84" w:rsidRDefault="00D96017" w:rsidP="001E1F84">
      <w:pPr>
        <w:rPr>
          <w:sz w:val="22"/>
          <w:szCs w:val="22"/>
        </w:rPr>
      </w:pPr>
      <w:hyperlink r:id="rId28" w:history="1">
        <w:r w:rsidR="001E1F84" w:rsidRPr="00374406">
          <w:rPr>
            <w:rStyle w:val="Hyperlink"/>
            <w:sz w:val="22"/>
            <w:szCs w:val="22"/>
          </w:rPr>
          <w:t>https://homelessnessnsw.org.au/resource/specialist-homelessness-service-data/</w:t>
        </w:r>
      </w:hyperlink>
    </w:p>
    <w:p w14:paraId="4CB2342A" w14:textId="77777777" w:rsidR="001E1F84" w:rsidRDefault="001E1F84" w:rsidP="001E1F84">
      <w:pPr>
        <w:rPr>
          <w:sz w:val="22"/>
          <w:szCs w:val="22"/>
        </w:rPr>
      </w:pPr>
      <w:r>
        <w:rPr>
          <w:sz w:val="22"/>
          <w:szCs w:val="22"/>
        </w:rPr>
        <w:t>And from the AIHW website here:</w:t>
      </w:r>
    </w:p>
    <w:p w14:paraId="6B881217" w14:textId="77777777" w:rsidR="001E1F84" w:rsidRDefault="00D96017" w:rsidP="001E1F84">
      <w:pPr>
        <w:rPr>
          <w:sz w:val="22"/>
          <w:szCs w:val="22"/>
        </w:rPr>
      </w:pPr>
      <w:hyperlink r:id="rId29" w:history="1">
        <w:r w:rsidR="001E1F84" w:rsidRPr="00374406">
          <w:rPr>
            <w:rStyle w:val="Hyperlink"/>
            <w:sz w:val="22"/>
            <w:szCs w:val="22"/>
          </w:rPr>
          <w:t>https://www.aihw.gov.au/reports/australias-welfare/homelessness-and-homelessness-services</w:t>
        </w:r>
      </w:hyperlink>
    </w:p>
    <w:p w14:paraId="5E2ADD3C" w14:textId="77777777" w:rsidR="001E1F84" w:rsidRDefault="001E1F84" w:rsidP="001E1F84">
      <w:pPr>
        <w:rPr>
          <w:sz w:val="22"/>
          <w:szCs w:val="22"/>
        </w:rPr>
      </w:pPr>
      <w:r>
        <w:rPr>
          <w:sz w:val="22"/>
          <w:szCs w:val="22"/>
        </w:rPr>
        <w:t>The 2023 Street Count result is at the DCJ/ FACS website here:</w:t>
      </w:r>
    </w:p>
    <w:p w14:paraId="2D7641C1" w14:textId="77777777" w:rsidR="001E1F84" w:rsidRDefault="00D96017" w:rsidP="001E1F84">
      <w:pPr>
        <w:rPr>
          <w:sz w:val="22"/>
          <w:szCs w:val="22"/>
        </w:rPr>
      </w:pPr>
      <w:hyperlink r:id="rId30" w:history="1">
        <w:r w:rsidR="001E1F84" w:rsidRPr="00374406">
          <w:rPr>
            <w:rStyle w:val="Hyperlink"/>
            <w:sz w:val="22"/>
            <w:szCs w:val="22"/>
          </w:rPr>
          <w:t>https://www.facs.nsw.gov.au/reforms/homelessness/premiers-priority-to-reduce-street-homelessness/street-count</w:t>
        </w:r>
      </w:hyperlink>
    </w:p>
    <w:p w14:paraId="2CC565BA" w14:textId="77777777" w:rsidR="001E1F84" w:rsidRDefault="001E1F84" w:rsidP="001E1F84">
      <w:pPr>
        <w:rPr>
          <w:sz w:val="22"/>
          <w:szCs w:val="22"/>
        </w:rPr>
      </w:pPr>
      <w:r>
        <w:rPr>
          <w:sz w:val="22"/>
          <w:szCs w:val="22"/>
        </w:rPr>
        <w:t>Further information on ABS estimation of homelessness is available at the ABS website:</w:t>
      </w:r>
    </w:p>
    <w:p w14:paraId="2BDC5787" w14:textId="77777777" w:rsidR="001E1F84" w:rsidRDefault="00D96017" w:rsidP="001E1F84">
      <w:pPr>
        <w:rPr>
          <w:sz w:val="22"/>
          <w:szCs w:val="22"/>
        </w:rPr>
      </w:pPr>
      <w:hyperlink r:id="rId31" w:history="1">
        <w:r w:rsidR="001E1F84" w:rsidRPr="009911ED">
          <w:rPr>
            <w:rStyle w:val="Hyperlink"/>
            <w:sz w:val="22"/>
            <w:szCs w:val="22"/>
          </w:rPr>
          <w:t>https://www.abs.gov.au/statistics/people/housing/estimating-homelessness-census/2021</w:t>
        </w:r>
      </w:hyperlink>
    </w:p>
    <w:p w14:paraId="3F16B068" w14:textId="77777777" w:rsidR="001E1F84" w:rsidRDefault="001E1F84" w:rsidP="001E1F84">
      <w:pPr>
        <w:rPr>
          <w:b/>
          <w:color w:val="008000"/>
          <w:sz w:val="32"/>
        </w:rPr>
      </w:pPr>
    </w:p>
    <w:p w14:paraId="647A61DE" w14:textId="77777777" w:rsidR="001E1F84" w:rsidRPr="001E1F84" w:rsidRDefault="001E1F84" w:rsidP="001E1F84">
      <w:pPr>
        <w:rPr>
          <w:sz w:val="22"/>
          <w:szCs w:val="22"/>
        </w:rPr>
      </w:pPr>
    </w:p>
    <w:p w14:paraId="4609648E" w14:textId="77777777" w:rsidR="001E1F84" w:rsidRPr="001E1F84" w:rsidRDefault="001E1F84" w:rsidP="001E1F84">
      <w:pPr>
        <w:rPr>
          <w:sz w:val="22"/>
          <w:szCs w:val="22"/>
        </w:rPr>
      </w:pPr>
    </w:p>
    <w:sectPr w:rsidR="001E1F84" w:rsidRPr="001E1F84" w:rsidSect="00BB657B">
      <w:headerReference w:type="default" r:id="rId32"/>
      <w:footerReference w:type="default" r:id="rId33"/>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7811" w14:textId="77777777" w:rsidR="00564A6D" w:rsidRDefault="00564A6D">
      <w:r>
        <w:separator/>
      </w:r>
    </w:p>
  </w:endnote>
  <w:endnote w:type="continuationSeparator" w:id="0">
    <w:p w14:paraId="567049A0"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86261"/>
      <w:docPartObj>
        <w:docPartGallery w:val="Page Numbers (Bottom of Page)"/>
        <w:docPartUnique/>
      </w:docPartObj>
    </w:sdtPr>
    <w:sdtEndPr>
      <w:rPr>
        <w:noProof/>
      </w:rPr>
    </w:sdtEndPr>
    <w:sdtContent>
      <w:p w14:paraId="4CBE08CE" w14:textId="77777777" w:rsidR="00315AA6" w:rsidRDefault="00315AA6">
        <w:pPr>
          <w:pStyle w:val="Footer"/>
          <w:jc w:val="right"/>
        </w:pPr>
        <w:r>
          <w:fldChar w:fldCharType="begin"/>
        </w:r>
        <w:r>
          <w:instrText xml:space="preserve"> PAGE   \* MERGEFORMAT </w:instrText>
        </w:r>
        <w:r>
          <w:fldChar w:fldCharType="separate"/>
        </w:r>
        <w:r w:rsidR="001E1F84">
          <w:rPr>
            <w:noProof/>
          </w:rPr>
          <w:t>14</w:t>
        </w:r>
        <w:r>
          <w:rPr>
            <w:noProof/>
          </w:rPr>
          <w:fldChar w:fldCharType="end"/>
        </w:r>
      </w:p>
    </w:sdtContent>
  </w:sdt>
  <w:p w14:paraId="3164B25C"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90A0" w14:textId="77777777" w:rsidR="00564A6D" w:rsidRDefault="00564A6D">
      <w:r>
        <w:separator/>
      </w:r>
    </w:p>
  </w:footnote>
  <w:footnote w:type="continuationSeparator" w:id="0">
    <w:p w14:paraId="57441413"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999E"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7F9C76E7" wp14:editId="308A81E4">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4AD40B14"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C0BEB"/>
    <w:multiLevelType w:val="hybridMultilevel"/>
    <w:tmpl w:val="DE9A71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A4122"/>
    <w:multiLevelType w:val="hybridMultilevel"/>
    <w:tmpl w:val="EE908BC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B15C0"/>
    <w:multiLevelType w:val="multilevel"/>
    <w:tmpl w:val="7F48644A"/>
    <w:numStyleLink w:val="Bulletpoint"/>
  </w:abstractNum>
  <w:abstractNum w:abstractNumId="5"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1A0DC6"/>
    <w:multiLevelType w:val="hybridMultilevel"/>
    <w:tmpl w:val="B192DB2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1E3A40"/>
    <w:multiLevelType w:val="hybridMultilevel"/>
    <w:tmpl w:val="F08824E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91270E"/>
    <w:multiLevelType w:val="multilevel"/>
    <w:tmpl w:val="7F48644A"/>
    <w:numStyleLink w:val="Bulletpoint"/>
  </w:abstractNum>
  <w:abstractNum w:abstractNumId="16" w15:restartNumberingAfterBreak="0">
    <w:nsid w:val="54114829"/>
    <w:multiLevelType w:val="multilevel"/>
    <w:tmpl w:val="7F48644A"/>
    <w:numStyleLink w:val="Bulletpoint"/>
  </w:abstractNum>
  <w:abstractNum w:abstractNumId="17"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76CD3"/>
    <w:multiLevelType w:val="hybridMultilevel"/>
    <w:tmpl w:val="1410198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1542986">
    <w:abstractNumId w:val="0"/>
  </w:num>
  <w:num w:numId="2" w16cid:durableId="692800929">
    <w:abstractNumId w:val="18"/>
  </w:num>
  <w:num w:numId="3" w16cid:durableId="853030276">
    <w:abstractNumId w:val="16"/>
  </w:num>
  <w:num w:numId="4" w16cid:durableId="1450197855">
    <w:abstractNumId w:val="15"/>
  </w:num>
  <w:num w:numId="5" w16cid:durableId="403457994">
    <w:abstractNumId w:val="4"/>
  </w:num>
  <w:num w:numId="6" w16cid:durableId="769131164">
    <w:abstractNumId w:val="21"/>
  </w:num>
  <w:num w:numId="7" w16cid:durableId="68698953">
    <w:abstractNumId w:val="3"/>
  </w:num>
  <w:num w:numId="8" w16cid:durableId="2044675172">
    <w:abstractNumId w:val="23"/>
  </w:num>
  <w:num w:numId="9" w16cid:durableId="2102525984">
    <w:abstractNumId w:val="22"/>
  </w:num>
  <w:num w:numId="10" w16cid:durableId="375738062">
    <w:abstractNumId w:val="17"/>
  </w:num>
  <w:num w:numId="11" w16cid:durableId="1617329183">
    <w:abstractNumId w:val="11"/>
  </w:num>
  <w:num w:numId="12" w16cid:durableId="154346183">
    <w:abstractNumId w:val="14"/>
  </w:num>
  <w:num w:numId="13" w16cid:durableId="1352337430">
    <w:abstractNumId w:val="20"/>
  </w:num>
  <w:num w:numId="14" w16cid:durableId="210456801">
    <w:abstractNumId w:val="8"/>
  </w:num>
  <w:num w:numId="15" w16cid:durableId="1813064175">
    <w:abstractNumId w:val="13"/>
  </w:num>
  <w:num w:numId="16" w16cid:durableId="604112693">
    <w:abstractNumId w:val="5"/>
  </w:num>
  <w:num w:numId="17" w16cid:durableId="1329672565">
    <w:abstractNumId w:val="6"/>
  </w:num>
  <w:num w:numId="18" w16cid:durableId="776559373">
    <w:abstractNumId w:val="7"/>
  </w:num>
  <w:num w:numId="19" w16cid:durableId="1488206901">
    <w:abstractNumId w:val="24"/>
  </w:num>
  <w:num w:numId="20" w16cid:durableId="1371760728">
    <w:abstractNumId w:val="9"/>
  </w:num>
  <w:num w:numId="21" w16cid:durableId="1315062899">
    <w:abstractNumId w:val="1"/>
  </w:num>
  <w:num w:numId="22" w16cid:durableId="1088113944">
    <w:abstractNumId w:val="10"/>
  </w:num>
  <w:num w:numId="23" w16cid:durableId="808671719">
    <w:abstractNumId w:val="2"/>
  </w:num>
  <w:num w:numId="24" w16cid:durableId="1387222069">
    <w:abstractNumId w:val="19"/>
  </w:num>
  <w:num w:numId="25" w16cid:durableId="1539321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3FA"/>
    <w:rsid w:val="0000537C"/>
    <w:rsid w:val="000073E7"/>
    <w:rsid w:val="00007FCD"/>
    <w:rsid w:val="000128F8"/>
    <w:rsid w:val="00014DFA"/>
    <w:rsid w:val="0001509B"/>
    <w:rsid w:val="0002002B"/>
    <w:rsid w:val="0002385F"/>
    <w:rsid w:val="000238BE"/>
    <w:rsid w:val="00025B62"/>
    <w:rsid w:val="0002652D"/>
    <w:rsid w:val="0002705A"/>
    <w:rsid w:val="0003015F"/>
    <w:rsid w:val="000301A0"/>
    <w:rsid w:val="00030840"/>
    <w:rsid w:val="0003224F"/>
    <w:rsid w:val="000329C1"/>
    <w:rsid w:val="000331DB"/>
    <w:rsid w:val="00034487"/>
    <w:rsid w:val="0003643E"/>
    <w:rsid w:val="000401DB"/>
    <w:rsid w:val="000411E5"/>
    <w:rsid w:val="00042E77"/>
    <w:rsid w:val="0004492A"/>
    <w:rsid w:val="000459C2"/>
    <w:rsid w:val="00045AF7"/>
    <w:rsid w:val="000467EC"/>
    <w:rsid w:val="00047744"/>
    <w:rsid w:val="00050277"/>
    <w:rsid w:val="000545D9"/>
    <w:rsid w:val="00054D7D"/>
    <w:rsid w:val="00055434"/>
    <w:rsid w:val="000610BC"/>
    <w:rsid w:val="00062436"/>
    <w:rsid w:val="00064BA4"/>
    <w:rsid w:val="00067E94"/>
    <w:rsid w:val="00071F45"/>
    <w:rsid w:val="0007285B"/>
    <w:rsid w:val="0007502D"/>
    <w:rsid w:val="0007553F"/>
    <w:rsid w:val="0007698C"/>
    <w:rsid w:val="0007784F"/>
    <w:rsid w:val="000808D2"/>
    <w:rsid w:val="000825C2"/>
    <w:rsid w:val="0008467A"/>
    <w:rsid w:val="00086B8E"/>
    <w:rsid w:val="0009596E"/>
    <w:rsid w:val="00095D8D"/>
    <w:rsid w:val="00096208"/>
    <w:rsid w:val="00096EE0"/>
    <w:rsid w:val="000A0F1E"/>
    <w:rsid w:val="000A1A8C"/>
    <w:rsid w:val="000A5290"/>
    <w:rsid w:val="000A5608"/>
    <w:rsid w:val="000A6642"/>
    <w:rsid w:val="000A7162"/>
    <w:rsid w:val="000B2634"/>
    <w:rsid w:val="000B2A74"/>
    <w:rsid w:val="000B3FA4"/>
    <w:rsid w:val="000B56D8"/>
    <w:rsid w:val="000B61E9"/>
    <w:rsid w:val="000B75EB"/>
    <w:rsid w:val="000B7DF7"/>
    <w:rsid w:val="000C0268"/>
    <w:rsid w:val="000C662F"/>
    <w:rsid w:val="000C6B1E"/>
    <w:rsid w:val="000D2599"/>
    <w:rsid w:val="000D6019"/>
    <w:rsid w:val="000D7FA3"/>
    <w:rsid w:val="000E078B"/>
    <w:rsid w:val="000E182F"/>
    <w:rsid w:val="000E1E21"/>
    <w:rsid w:val="000E7008"/>
    <w:rsid w:val="000F053E"/>
    <w:rsid w:val="000F249F"/>
    <w:rsid w:val="000F24AF"/>
    <w:rsid w:val="000F3370"/>
    <w:rsid w:val="000F461F"/>
    <w:rsid w:val="000F6CE6"/>
    <w:rsid w:val="00101958"/>
    <w:rsid w:val="00103865"/>
    <w:rsid w:val="00104B5E"/>
    <w:rsid w:val="00104FC4"/>
    <w:rsid w:val="00105365"/>
    <w:rsid w:val="00105477"/>
    <w:rsid w:val="001058B0"/>
    <w:rsid w:val="00113B05"/>
    <w:rsid w:val="00117158"/>
    <w:rsid w:val="001174B1"/>
    <w:rsid w:val="0012161B"/>
    <w:rsid w:val="00122CAE"/>
    <w:rsid w:val="0012441C"/>
    <w:rsid w:val="0013027E"/>
    <w:rsid w:val="00131EA4"/>
    <w:rsid w:val="00132F07"/>
    <w:rsid w:val="001344D3"/>
    <w:rsid w:val="001344DC"/>
    <w:rsid w:val="00135905"/>
    <w:rsid w:val="00137892"/>
    <w:rsid w:val="00137F70"/>
    <w:rsid w:val="00140885"/>
    <w:rsid w:val="00142DBC"/>
    <w:rsid w:val="001441BA"/>
    <w:rsid w:val="00146DD9"/>
    <w:rsid w:val="001501E7"/>
    <w:rsid w:val="00151375"/>
    <w:rsid w:val="001513E0"/>
    <w:rsid w:val="001517A4"/>
    <w:rsid w:val="00152CFA"/>
    <w:rsid w:val="00156081"/>
    <w:rsid w:val="00162916"/>
    <w:rsid w:val="00163B75"/>
    <w:rsid w:val="00165BCC"/>
    <w:rsid w:val="0016630F"/>
    <w:rsid w:val="001663F4"/>
    <w:rsid w:val="001669DC"/>
    <w:rsid w:val="0017182A"/>
    <w:rsid w:val="00171F63"/>
    <w:rsid w:val="001742EA"/>
    <w:rsid w:val="00175B16"/>
    <w:rsid w:val="00175CFF"/>
    <w:rsid w:val="001761E1"/>
    <w:rsid w:val="0017634D"/>
    <w:rsid w:val="00182B29"/>
    <w:rsid w:val="00182CDB"/>
    <w:rsid w:val="00182DE5"/>
    <w:rsid w:val="00184737"/>
    <w:rsid w:val="001909CA"/>
    <w:rsid w:val="00197B58"/>
    <w:rsid w:val="001A0A02"/>
    <w:rsid w:val="001B00B6"/>
    <w:rsid w:val="001B17A1"/>
    <w:rsid w:val="001B27D6"/>
    <w:rsid w:val="001B2A55"/>
    <w:rsid w:val="001B3A46"/>
    <w:rsid w:val="001B4A6B"/>
    <w:rsid w:val="001B4D62"/>
    <w:rsid w:val="001B79B1"/>
    <w:rsid w:val="001C15E4"/>
    <w:rsid w:val="001C236A"/>
    <w:rsid w:val="001C37D4"/>
    <w:rsid w:val="001C6396"/>
    <w:rsid w:val="001C6FB7"/>
    <w:rsid w:val="001C71A1"/>
    <w:rsid w:val="001D144E"/>
    <w:rsid w:val="001D3CC0"/>
    <w:rsid w:val="001D77A4"/>
    <w:rsid w:val="001D7ACB"/>
    <w:rsid w:val="001E1047"/>
    <w:rsid w:val="001E12EE"/>
    <w:rsid w:val="001E1F84"/>
    <w:rsid w:val="001E556C"/>
    <w:rsid w:val="001E6837"/>
    <w:rsid w:val="001E783A"/>
    <w:rsid w:val="001F2B5D"/>
    <w:rsid w:val="001F3B60"/>
    <w:rsid w:val="001F46C1"/>
    <w:rsid w:val="001F5B89"/>
    <w:rsid w:val="001F5E9F"/>
    <w:rsid w:val="001F627E"/>
    <w:rsid w:val="002010FF"/>
    <w:rsid w:val="00201EC7"/>
    <w:rsid w:val="00203AFA"/>
    <w:rsid w:val="00203F4C"/>
    <w:rsid w:val="00206468"/>
    <w:rsid w:val="0021405C"/>
    <w:rsid w:val="002140CA"/>
    <w:rsid w:val="00215557"/>
    <w:rsid w:val="00217B75"/>
    <w:rsid w:val="00220972"/>
    <w:rsid w:val="00222967"/>
    <w:rsid w:val="00223136"/>
    <w:rsid w:val="00226F44"/>
    <w:rsid w:val="002307C5"/>
    <w:rsid w:val="0023354E"/>
    <w:rsid w:val="00235151"/>
    <w:rsid w:val="00237B30"/>
    <w:rsid w:val="002407D0"/>
    <w:rsid w:val="002422C8"/>
    <w:rsid w:val="00245811"/>
    <w:rsid w:val="002552D9"/>
    <w:rsid w:val="0026232D"/>
    <w:rsid w:val="002626E8"/>
    <w:rsid w:val="00262CF8"/>
    <w:rsid w:val="0026359F"/>
    <w:rsid w:val="00263903"/>
    <w:rsid w:val="00266AEE"/>
    <w:rsid w:val="00266ECB"/>
    <w:rsid w:val="00270797"/>
    <w:rsid w:val="002718EB"/>
    <w:rsid w:val="00273BD2"/>
    <w:rsid w:val="002759E0"/>
    <w:rsid w:val="002805F3"/>
    <w:rsid w:val="0028254B"/>
    <w:rsid w:val="00283423"/>
    <w:rsid w:val="0028595F"/>
    <w:rsid w:val="00285DA3"/>
    <w:rsid w:val="00285F8B"/>
    <w:rsid w:val="00294596"/>
    <w:rsid w:val="002976C9"/>
    <w:rsid w:val="002A09FE"/>
    <w:rsid w:val="002A2478"/>
    <w:rsid w:val="002A3643"/>
    <w:rsid w:val="002A3B6A"/>
    <w:rsid w:val="002A4209"/>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1A6"/>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5AA6"/>
    <w:rsid w:val="003171AF"/>
    <w:rsid w:val="003173AB"/>
    <w:rsid w:val="00320D58"/>
    <w:rsid w:val="003306A3"/>
    <w:rsid w:val="00330901"/>
    <w:rsid w:val="00333D00"/>
    <w:rsid w:val="00334EDE"/>
    <w:rsid w:val="0033547A"/>
    <w:rsid w:val="0034140D"/>
    <w:rsid w:val="00341620"/>
    <w:rsid w:val="003433C7"/>
    <w:rsid w:val="00343FC0"/>
    <w:rsid w:val="003451FB"/>
    <w:rsid w:val="003464B0"/>
    <w:rsid w:val="003511BA"/>
    <w:rsid w:val="003514DE"/>
    <w:rsid w:val="003519E4"/>
    <w:rsid w:val="00351E80"/>
    <w:rsid w:val="0035247A"/>
    <w:rsid w:val="00352D3F"/>
    <w:rsid w:val="0035336A"/>
    <w:rsid w:val="003560A6"/>
    <w:rsid w:val="00360C09"/>
    <w:rsid w:val="00360EA0"/>
    <w:rsid w:val="003612DA"/>
    <w:rsid w:val="00371240"/>
    <w:rsid w:val="00373822"/>
    <w:rsid w:val="00374198"/>
    <w:rsid w:val="00382DD2"/>
    <w:rsid w:val="00383F13"/>
    <w:rsid w:val="003864CF"/>
    <w:rsid w:val="0038693C"/>
    <w:rsid w:val="003869F8"/>
    <w:rsid w:val="00393363"/>
    <w:rsid w:val="00394F0A"/>
    <w:rsid w:val="003A0D8E"/>
    <w:rsid w:val="003A2183"/>
    <w:rsid w:val="003A2DAE"/>
    <w:rsid w:val="003A5B11"/>
    <w:rsid w:val="003A60EC"/>
    <w:rsid w:val="003A66E0"/>
    <w:rsid w:val="003A74D7"/>
    <w:rsid w:val="003B109B"/>
    <w:rsid w:val="003B1954"/>
    <w:rsid w:val="003B2029"/>
    <w:rsid w:val="003B312B"/>
    <w:rsid w:val="003B3782"/>
    <w:rsid w:val="003B4FA9"/>
    <w:rsid w:val="003B5958"/>
    <w:rsid w:val="003B76E6"/>
    <w:rsid w:val="003B7C6B"/>
    <w:rsid w:val="003C0161"/>
    <w:rsid w:val="003C497F"/>
    <w:rsid w:val="003D3F7D"/>
    <w:rsid w:val="003D6256"/>
    <w:rsid w:val="003D74B2"/>
    <w:rsid w:val="003E027E"/>
    <w:rsid w:val="003E040E"/>
    <w:rsid w:val="003E2B10"/>
    <w:rsid w:val="003E3494"/>
    <w:rsid w:val="003F0F71"/>
    <w:rsid w:val="003F12EE"/>
    <w:rsid w:val="003F1D65"/>
    <w:rsid w:val="003F4AE1"/>
    <w:rsid w:val="003F5D47"/>
    <w:rsid w:val="003F7832"/>
    <w:rsid w:val="004029DC"/>
    <w:rsid w:val="00403E95"/>
    <w:rsid w:val="00403ECB"/>
    <w:rsid w:val="00404713"/>
    <w:rsid w:val="004064FD"/>
    <w:rsid w:val="00413496"/>
    <w:rsid w:val="00414BFB"/>
    <w:rsid w:val="004157A1"/>
    <w:rsid w:val="0041637F"/>
    <w:rsid w:val="00417530"/>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37BC"/>
    <w:rsid w:val="004450E5"/>
    <w:rsid w:val="0044771E"/>
    <w:rsid w:val="00456D1B"/>
    <w:rsid w:val="004578D4"/>
    <w:rsid w:val="00462C0D"/>
    <w:rsid w:val="00463348"/>
    <w:rsid w:val="00463693"/>
    <w:rsid w:val="00463F83"/>
    <w:rsid w:val="00465278"/>
    <w:rsid w:val="00465B77"/>
    <w:rsid w:val="00465CA9"/>
    <w:rsid w:val="00471904"/>
    <w:rsid w:val="00471FED"/>
    <w:rsid w:val="00472613"/>
    <w:rsid w:val="00474D1F"/>
    <w:rsid w:val="00477082"/>
    <w:rsid w:val="0047716D"/>
    <w:rsid w:val="00480E33"/>
    <w:rsid w:val="00482A4A"/>
    <w:rsid w:val="00483E4D"/>
    <w:rsid w:val="00484FED"/>
    <w:rsid w:val="00486083"/>
    <w:rsid w:val="00486ADF"/>
    <w:rsid w:val="00487C45"/>
    <w:rsid w:val="004909FF"/>
    <w:rsid w:val="00492B05"/>
    <w:rsid w:val="004955BF"/>
    <w:rsid w:val="00497695"/>
    <w:rsid w:val="00497A81"/>
    <w:rsid w:val="004A39D0"/>
    <w:rsid w:val="004A58FB"/>
    <w:rsid w:val="004B4725"/>
    <w:rsid w:val="004B47D6"/>
    <w:rsid w:val="004B73E4"/>
    <w:rsid w:val="004C4253"/>
    <w:rsid w:val="004C46B8"/>
    <w:rsid w:val="004C4868"/>
    <w:rsid w:val="004C7CEB"/>
    <w:rsid w:val="004D006D"/>
    <w:rsid w:val="004D3681"/>
    <w:rsid w:val="004D5B8A"/>
    <w:rsid w:val="004D5D40"/>
    <w:rsid w:val="004D7EA7"/>
    <w:rsid w:val="004E63F8"/>
    <w:rsid w:val="004F13F1"/>
    <w:rsid w:val="004F5225"/>
    <w:rsid w:val="004F68F4"/>
    <w:rsid w:val="004F69B4"/>
    <w:rsid w:val="00500814"/>
    <w:rsid w:val="00501A40"/>
    <w:rsid w:val="0050731C"/>
    <w:rsid w:val="00512431"/>
    <w:rsid w:val="005138C1"/>
    <w:rsid w:val="00513B31"/>
    <w:rsid w:val="00514203"/>
    <w:rsid w:val="00515388"/>
    <w:rsid w:val="00515EEA"/>
    <w:rsid w:val="005176D3"/>
    <w:rsid w:val="00517D85"/>
    <w:rsid w:val="00526C94"/>
    <w:rsid w:val="00532867"/>
    <w:rsid w:val="005362AF"/>
    <w:rsid w:val="00537C3A"/>
    <w:rsid w:val="00540306"/>
    <w:rsid w:val="00540BEA"/>
    <w:rsid w:val="00542D54"/>
    <w:rsid w:val="005501FF"/>
    <w:rsid w:val="00552DEE"/>
    <w:rsid w:val="00555F5C"/>
    <w:rsid w:val="0055732B"/>
    <w:rsid w:val="00557D72"/>
    <w:rsid w:val="0056136E"/>
    <w:rsid w:val="005627C1"/>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B05EB"/>
    <w:rsid w:val="005B3E59"/>
    <w:rsid w:val="005B3E6F"/>
    <w:rsid w:val="005B72A1"/>
    <w:rsid w:val="005C03C7"/>
    <w:rsid w:val="005C0C76"/>
    <w:rsid w:val="005C1A32"/>
    <w:rsid w:val="005C3829"/>
    <w:rsid w:val="005D2418"/>
    <w:rsid w:val="005D3C1E"/>
    <w:rsid w:val="005D5243"/>
    <w:rsid w:val="005E0EC4"/>
    <w:rsid w:val="005E304F"/>
    <w:rsid w:val="005E4202"/>
    <w:rsid w:val="005E5D5C"/>
    <w:rsid w:val="005E6A03"/>
    <w:rsid w:val="005F265C"/>
    <w:rsid w:val="005F47CF"/>
    <w:rsid w:val="005F68CF"/>
    <w:rsid w:val="005F6C7F"/>
    <w:rsid w:val="005F7C64"/>
    <w:rsid w:val="00602501"/>
    <w:rsid w:val="00602E79"/>
    <w:rsid w:val="006047A5"/>
    <w:rsid w:val="00606514"/>
    <w:rsid w:val="00606598"/>
    <w:rsid w:val="00606934"/>
    <w:rsid w:val="00606A89"/>
    <w:rsid w:val="00616FBF"/>
    <w:rsid w:val="0062186B"/>
    <w:rsid w:val="0062259C"/>
    <w:rsid w:val="00624F0D"/>
    <w:rsid w:val="00625C93"/>
    <w:rsid w:val="00626515"/>
    <w:rsid w:val="006268D0"/>
    <w:rsid w:val="0063059C"/>
    <w:rsid w:val="00635154"/>
    <w:rsid w:val="00637D0C"/>
    <w:rsid w:val="006407A6"/>
    <w:rsid w:val="00641B08"/>
    <w:rsid w:val="00644676"/>
    <w:rsid w:val="006454C0"/>
    <w:rsid w:val="0065492E"/>
    <w:rsid w:val="006560D6"/>
    <w:rsid w:val="00656D1A"/>
    <w:rsid w:val="00657E24"/>
    <w:rsid w:val="006604A0"/>
    <w:rsid w:val="00662ABD"/>
    <w:rsid w:val="006632AB"/>
    <w:rsid w:val="00664774"/>
    <w:rsid w:val="0066560E"/>
    <w:rsid w:val="00667F27"/>
    <w:rsid w:val="00673F44"/>
    <w:rsid w:val="0067451E"/>
    <w:rsid w:val="00675A41"/>
    <w:rsid w:val="00675CB8"/>
    <w:rsid w:val="00676748"/>
    <w:rsid w:val="0067793E"/>
    <w:rsid w:val="00681CB1"/>
    <w:rsid w:val="0068374C"/>
    <w:rsid w:val="00684100"/>
    <w:rsid w:val="00690F02"/>
    <w:rsid w:val="00693256"/>
    <w:rsid w:val="0069529F"/>
    <w:rsid w:val="006971DF"/>
    <w:rsid w:val="006A0046"/>
    <w:rsid w:val="006A3F87"/>
    <w:rsid w:val="006A5D5F"/>
    <w:rsid w:val="006A6DB1"/>
    <w:rsid w:val="006B04CD"/>
    <w:rsid w:val="006B33CD"/>
    <w:rsid w:val="006B4028"/>
    <w:rsid w:val="006B44CA"/>
    <w:rsid w:val="006B480C"/>
    <w:rsid w:val="006B493D"/>
    <w:rsid w:val="006B5340"/>
    <w:rsid w:val="006B5948"/>
    <w:rsid w:val="006B5C78"/>
    <w:rsid w:val="006C0C3B"/>
    <w:rsid w:val="006C4501"/>
    <w:rsid w:val="006C47B1"/>
    <w:rsid w:val="006C62B0"/>
    <w:rsid w:val="006D1E36"/>
    <w:rsid w:val="006D2E28"/>
    <w:rsid w:val="006D4DA1"/>
    <w:rsid w:val="006D6D40"/>
    <w:rsid w:val="006E3BEB"/>
    <w:rsid w:val="006E79A0"/>
    <w:rsid w:val="006F0E4E"/>
    <w:rsid w:val="006F1DD2"/>
    <w:rsid w:val="006F3E7B"/>
    <w:rsid w:val="006F4102"/>
    <w:rsid w:val="006F55AF"/>
    <w:rsid w:val="006F678D"/>
    <w:rsid w:val="006F7E8A"/>
    <w:rsid w:val="00700862"/>
    <w:rsid w:val="00700FFE"/>
    <w:rsid w:val="0070389C"/>
    <w:rsid w:val="007039F2"/>
    <w:rsid w:val="00703E2D"/>
    <w:rsid w:val="00705798"/>
    <w:rsid w:val="00706202"/>
    <w:rsid w:val="00706E5A"/>
    <w:rsid w:val="00707B1E"/>
    <w:rsid w:val="00707B6E"/>
    <w:rsid w:val="00711F21"/>
    <w:rsid w:val="007143CA"/>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0A4C"/>
    <w:rsid w:val="007712A3"/>
    <w:rsid w:val="007719DB"/>
    <w:rsid w:val="00772CFF"/>
    <w:rsid w:val="00773342"/>
    <w:rsid w:val="007775C2"/>
    <w:rsid w:val="00781754"/>
    <w:rsid w:val="0078400F"/>
    <w:rsid w:val="007870F3"/>
    <w:rsid w:val="007904E8"/>
    <w:rsid w:val="00794002"/>
    <w:rsid w:val="00794B8E"/>
    <w:rsid w:val="007A0631"/>
    <w:rsid w:val="007A2415"/>
    <w:rsid w:val="007A4ACF"/>
    <w:rsid w:val="007A5679"/>
    <w:rsid w:val="007A7B79"/>
    <w:rsid w:val="007B10A1"/>
    <w:rsid w:val="007B796A"/>
    <w:rsid w:val="007B7D01"/>
    <w:rsid w:val="007C2068"/>
    <w:rsid w:val="007C314E"/>
    <w:rsid w:val="007C336E"/>
    <w:rsid w:val="007C5444"/>
    <w:rsid w:val="007D0D89"/>
    <w:rsid w:val="007D5C84"/>
    <w:rsid w:val="007D5EE6"/>
    <w:rsid w:val="007D612F"/>
    <w:rsid w:val="007D7250"/>
    <w:rsid w:val="007D7989"/>
    <w:rsid w:val="007E0483"/>
    <w:rsid w:val="007E0541"/>
    <w:rsid w:val="007E283B"/>
    <w:rsid w:val="007E6506"/>
    <w:rsid w:val="007E6630"/>
    <w:rsid w:val="007E74CE"/>
    <w:rsid w:val="007F0DFF"/>
    <w:rsid w:val="007F21E1"/>
    <w:rsid w:val="007F249A"/>
    <w:rsid w:val="007F49B2"/>
    <w:rsid w:val="007F4BB5"/>
    <w:rsid w:val="007F4CD1"/>
    <w:rsid w:val="007F5F30"/>
    <w:rsid w:val="007F6563"/>
    <w:rsid w:val="008001A5"/>
    <w:rsid w:val="00802DD7"/>
    <w:rsid w:val="00804B91"/>
    <w:rsid w:val="00807728"/>
    <w:rsid w:val="00810C20"/>
    <w:rsid w:val="00815E64"/>
    <w:rsid w:val="0082299C"/>
    <w:rsid w:val="00822A85"/>
    <w:rsid w:val="00823721"/>
    <w:rsid w:val="00824952"/>
    <w:rsid w:val="00830009"/>
    <w:rsid w:val="00830C15"/>
    <w:rsid w:val="00832FAA"/>
    <w:rsid w:val="00834910"/>
    <w:rsid w:val="008355C2"/>
    <w:rsid w:val="008359C8"/>
    <w:rsid w:val="00841E54"/>
    <w:rsid w:val="0084320C"/>
    <w:rsid w:val="00843501"/>
    <w:rsid w:val="0085229E"/>
    <w:rsid w:val="00852784"/>
    <w:rsid w:val="0085449F"/>
    <w:rsid w:val="00855C78"/>
    <w:rsid w:val="00861296"/>
    <w:rsid w:val="008632AE"/>
    <w:rsid w:val="0086371E"/>
    <w:rsid w:val="008640CC"/>
    <w:rsid w:val="008645E3"/>
    <w:rsid w:val="00864828"/>
    <w:rsid w:val="00864BE2"/>
    <w:rsid w:val="00870743"/>
    <w:rsid w:val="008709B8"/>
    <w:rsid w:val="00872919"/>
    <w:rsid w:val="0087502F"/>
    <w:rsid w:val="00877A34"/>
    <w:rsid w:val="00877A71"/>
    <w:rsid w:val="0088091F"/>
    <w:rsid w:val="008841B2"/>
    <w:rsid w:val="00884540"/>
    <w:rsid w:val="008873F6"/>
    <w:rsid w:val="0089128F"/>
    <w:rsid w:val="008918C3"/>
    <w:rsid w:val="008940F6"/>
    <w:rsid w:val="0089517C"/>
    <w:rsid w:val="008979E0"/>
    <w:rsid w:val="008A10CB"/>
    <w:rsid w:val="008A53DD"/>
    <w:rsid w:val="008A6A0D"/>
    <w:rsid w:val="008A7B08"/>
    <w:rsid w:val="008B1641"/>
    <w:rsid w:val="008B3B1D"/>
    <w:rsid w:val="008B455D"/>
    <w:rsid w:val="008B4601"/>
    <w:rsid w:val="008B6191"/>
    <w:rsid w:val="008B6B17"/>
    <w:rsid w:val="008C140F"/>
    <w:rsid w:val="008C2FB2"/>
    <w:rsid w:val="008D12BF"/>
    <w:rsid w:val="008D1DF2"/>
    <w:rsid w:val="008D367F"/>
    <w:rsid w:val="008D43FA"/>
    <w:rsid w:val="008D4793"/>
    <w:rsid w:val="008D4CBD"/>
    <w:rsid w:val="008D5C71"/>
    <w:rsid w:val="008E03EC"/>
    <w:rsid w:val="008E25E4"/>
    <w:rsid w:val="008E2FCC"/>
    <w:rsid w:val="008E3093"/>
    <w:rsid w:val="008E6C1E"/>
    <w:rsid w:val="008E7B78"/>
    <w:rsid w:val="008F2FB1"/>
    <w:rsid w:val="008F757B"/>
    <w:rsid w:val="00900828"/>
    <w:rsid w:val="00900D31"/>
    <w:rsid w:val="00903812"/>
    <w:rsid w:val="00904A57"/>
    <w:rsid w:val="00906663"/>
    <w:rsid w:val="0091352A"/>
    <w:rsid w:val="00914AA2"/>
    <w:rsid w:val="00915392"/>
    <w:rsid w:val="00916AE4"/>
    <w:rsid w:val="00917575"/>
    <w:rsid w:val="00917E2A"/>
    <w:rsid w:val="00925E78"/>
    <w:rsid w:val="00931A41"/>
    <w:rsid w:val="009320E3"/>
    <w:rsid w:val="00933915"/>
    <w:rsid w:val="00944CB0"/>
    <w:rsid w:val="0094542E"/>
    <w:rsid w:val="00946B23"/>
    <w:rsid w:val="0095060E"/>
    <w:rsid w:val="009518D2"/>
    <w:rsid w:val="00953E8A"/>
    <w:rsid w:val="00961D51"/>
    <w:rsid w:val="009674B8"/>
    <w:rsid w:val="00970410"/>
    <w:rsid w:val="00970D43"/>
    <w:rsid w:val="00971CE0"/>
    <w:rsid w:val="009805BD"/>
    <w:rsid w:val="0098118D"/>
    <w:rsid w:val="00981E50"/>
    <w:rsid w:val="009827BA"/>
    <w:rsid w:val="0098461E"/>
    <w:rsid w:val="00985076"/>
    <w:rsid w:val="0098586D"/>
    <w:rsid w:val="00986F53"/>
    <w:rsid w:val="00987C51"/>
    <w:rsid w:val="00991C7A"/>
    <w:rsid w:val="00993332"/>
    <w:rsid w:val="009943DC"/>
    <w:rsid w:val="0099637D"/>
    <w:rsid w:val="009971B3"/>
    <w:rsid w:val="00997723"/>
    <w:rsid w:val="009A3228"/>
    <w:rsid w:val="009A577D"/>
    <w:rsid w:val="009A7C06"/>
    <w:rsid w:val="009B03A5"/>
    <w:rsid w:val="009B275D"/>
    <w:rsid w:val="009B3925"/>
    <w:rsid w:val="009B526A"/>
    <w:rsid w:val="009B6768"/>
    <w:rsid w:val="009B799E"/>
    <w:rsid w:val="009C09F9"/>
    <w:rsid w:val="009C39F9"/>
    <w:rsid w:val="009C4138"/>
    <w:rsid w:val="009D0DE8"/>
    <w:rsid w:val="009D1EF2"/>
    <w:rsid w:val="009D2F67"/>
    <w:rsid w:val="009D3B98"/>
    <w:rsid w:val="009D4F3C"/>
    <w:rsid w:val="009D4F40"/>
    <w:rsid w:val="009E1A41"/>
    <w:rsid w:val="009E2317"/>
    <w:rsid w:val="009E3C87"/>
    <w:rsid w:val="009E3D82"/>
    <w:rsid w:val="009E4127"/>
    <w:rsid w:val="009E46E2"/>
    <w:rsid w:val="009E4B0D"/>
    <w:rsid w:val="009E4DB0"/>
    <w:rsid w:val="009E7A79"/>
    <w:rsid w:val="009E7D17"/>
    <w:rsid w:val="009F05C3"/>
    <w:rsid w:val="009F0CFA"/>
    <w:rsid w:val="009F3242"/>
    <w:rsid w:val="009F3EA5"/>
    <w:rsid w:val="009F5A7B"/>
    <w:rsid w:val="00A02074"/>
    <w:rsid w:val="00A03B45"/>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40B8"/>
    <w:rsid w:val="00A44CF3"/>
    <w:rsid w:val="00A47932"/>
    <w:rsid w:val="00A50459"/>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434D"/>
    <w:rsid w:val="00A96FAD"/>
    <w:rsid w:val="00A972A4"/>
    <w:rsid w:val="00A97E8E"/>
    <w:rsid w:val="00AA0677"/>
    <w:rsid w:val="00AA1F7F"/>
    <w:rsid w:val="00AA3945"/>
    <w:rsid w:val="00AA773C"/>
    <w:rsid w:val="00AB25AB"/>
    <w:rsid w:val="00AB2F33"/>
    <w:rsid w:val="00AB4BED"/>
    <w:rsid w:val="00AB6AC5"/>
    <w:rsid w:val="00AC2363"/>
    <w:rsid w:val="00AC61EC"/>
    <w:rsid w:val="00AC72F0"/>
    <w:rsid w:val="00AC7892"/>
    <w:rsid w:val="00AC791A"/>
    <w:rsid w:val="00AD198A"/>
    <w:rsid w:val="00AD392C"/>
    <w:rsid w:val="00AD7126"/>
    <w:rsid w:val="00AE05C4"/>
    <w:rsid w:val="00AE3ABC"/>
    <w:rsid w:val="00AE59F0"/>
    <w:rsid w:val="00AE6C6D"/>
    <w:rsid w:val="00AE7239"/>
    <w:rsid w:val="00AF0285"/>
    <w:rsid w:val="00AF6F4F"/>
    <w:rsid w:val="00AF711A"/>
    <w:rsid w:val="00B000DB"/>
    <w:rsid w:val="00B00615"/>
    <w:rsid w:val="00B06988"/>
    <w:rsid w:val="00B1087F"/>
    <w:rsid w:val="00B11633"/>
    <w:rsid w:val="00B136C8"/>
    <w:rsid w:val="00B20EB9"/>
    <w:rsid w:val="00B21A38"/>
    <w:rsid w:val="00B2208A"/>
    <w:rsid w:val="00B22850"/>
    <w:rsid w:val="00B2376F"/>
    <w:rsid w:val="00B25D04"/>
    <w:rsid w:val="00B27567"/>
    <w:rsid w:val="00B3480A"/>
    <w:rsid w:val="00B359F1"/>
    <w:rsid w:val="00B35AA6"/>
    <w:rsid w:val="00B41260"/>
    <w:rsid w:val="00B41A1F"/>
    <w:rsid w:val="00B4316D"/>
    <w:rsid w:val="00B436F2"/>
    <w:rsid w:val="00B442B4"/>
    <w:rsid w:val="00B5290C"/>
    <w:rsid w:val="00B530A0"/>
    <w:rsid w:val="00B54C34"/>
    <w:rsid w:val="00B54F04"/>
    <w:rsid w:val="00B56D19"/>
    <w:rsid w:val="00B579B2"/>
    <w:rsid w:val="00B651AD"/>
    <w:rsid w:val="00B65329"/>
    <w:rsid w:val="00B6725F"/>
    <w:rsid w:val="00B70335"/>
    <w:rsid w:val="00B72875"/>
    <w:rsid w:val="00B745E9"/>
    <w:rsid w:val="00B77ED0"/>
    <w:rsid w:val="00B81F48"/>
    <w:rsid w:val="00B830DD"/>
    <w:rsid w:val="00B8325F"/>
    <w:rsid w:val="00B84487"/>
    <w:rsid w:val="00B85CF2"/>
    <w:rsid w:val="00B9065D"/>
    <w:rsid w:val="00B9232D"/>
    <w:rsid w:val="00B923F1"/>
    <w:rsid w:val="00B93AD1"/>
    <w:rsid w:val="00B93DBB"/>
    <w:rsid w:val="00B93E29"/>
    <w:rsid w:val="00B93FBE"/>
    <w:rsid w:val="00B94126"/>
    <w:rsid w:val="00B94763"/>
    <w:rsid w:val="00BA31AA"/>
    <w:rsid w:val="00BA4230"/>
    <w:rsid w:val="00BA4468"/>
    <w:rsid w:val="00BA5201"/>
    <w:rsid w:val="00BA5CE0"/>
    <w:rsid w:val="00BB0F1F"/>
    <w:rsid w:val="00BB11ED"/>
    <w:rsid w:val="00BB1545"/>
    <w:rsid w:val="00BB1802"/>
    <w:rsid w:val="00BB304A"/>
    <w:rsid w:val="00BB3FC9"/>
    <w:rsid w:val="00BB657B"/>
    <w:rsid w:val="00BB7E7F"/>
    <w:rsid w:val="00BC12FE"/>
    <w:rsid w:val="00BC1827"/>
    <w:rsid w:val="00BC237F"/>
    <w:rsid w:val="00BC2DA6"/>
    <w:rsid w:val="00BC589A"/>
    <w:rsid w:val="00BD0868"/>
    <w:rsid w:val="00BD710E"/>
    <w:rsid w:val="00BD75AF"/>
    <w:rsid w:val="00BE3E96"/>
    <w:rsid w:val="00BE6932"/>
    <w:rsid w:val="00BE6C04"/>
    <w:rsid w:val="00BF73F0"/>
    <w:rsid w:val="00BF7961"/>
    <w:rsid w:val="00C02253"/>
    <w:rsid w:val="00C03748"/>
    <w:rsid w:val="00C04104"/>
    <w:rsid w:val="00C10460"/>
    <w:rsid w:val="00C10AAB"/>
    <w:rsid w:val="00C10F89"/>
    <w:rsid w:val="00C11A9A"/>
    <w:rsid w:val="00C11D3B"/>
    <w:rsid w:val="00C1543B"/>
    <w:rsid w:val="00C1712F"/>
    <w:rsid w:val="00C20CC5"/>
    <w:rsid w:val="00C212C5"/>
    <w:rsid w:val="00C2134C"/>
    <w:rsid w:val="00C23E09"/>
    <w:rsid w:val="00C33295"/>
    <w:rsid w:val="00C33DD7"/>
    <w:rsid w:val="00C36D69"/>
    <w:rsid w:val="00C406FB"/>
    <w:rsid w:val="00C4100B"/>
    <w:rsid w:val="00C410A5"/>
    <w:rsid w:val="00C4284B"/>
    <w:rsid w:val="00C45EA3"/>
    <w:rsid w:val="00C5065A"/>
    <w:rsid w:val="00C509C4"/>
    <w:rsid w:val="00C56180"/>
    <w:rsid w:val="00C61DAC"/>
    <w:rsid w:val="00C628C9"/>
    <w:rsid w:val="00C6472A"/>
    <w:rsid w:val="00C64EEA"/>
    <w:rsid w:val="00C6571D"/>
    <w:rsid w:val="00C73AAF"/>
    <w:rsid w:val="00C76E7C"/>
    <w:rsid w:val="00C774E7"/>
    <w:rsid w:val="00C81613"/>
    <w:rsid w:val="00C83EA4"/>
    <w:rsid w:val="00C84B7F"/>
    <w:rsid w:val="00C8520A"/>
    <w:rsid w:val="00C9098F"/>
    <w:rsid w:val="00C92DB0"/>
    <w:rsid w:val="00C930BC"/>
    <w:rsid w:val="00C93EAA"/>
    <w:rsid w:val="00C943C1"/>
    <w:rsid w:val="00C94DCD"/>
    <w:rsid w:val="00C95BD4"/>
    <w:rsid w:val="00C9763D"/>
    <w:rsid w:val="00CA147F"/>
    <w:rsid w:val="00CA4627"/>
    <w:rsid w:val="00CA4B81"/>
    <w:rsid w:val="00CB1303"/>
    <w:rsid w:val="00CB3F1D"/>
    <w:rsid w:val="00CB5C9A"/>
    <w:rsid w:val="00CB6A03"/>
    <w:rsid w:val="00CB74C6"/>
    <w:rsid w:val="00CC3F05"/>
    <w:rsid w:val="00CC4171"/>
    <w:rsid w:val="00CC47D6"/>
    <w:rsid w:val="00CC4FCA"/>
    <w:rsid w:val="00CC52A0"/>
    <w:rsid w:val="00CC5ABA"/>
    <w:rsid w:val="00CC61A7"/>
    <w:rsid w:val="00CC63CB"/>
    <w:rsid w:val="00CD0663"/>
    <w:rsid w:val="00CD1B13"/>
    <w:rsid w:val="00CD20E2"/>
    <w:rsid w:val="00CD2467"/>
    <w:rsid w:val="00CD4467"/>
    <w:rsid w:val="00CD4DFB"/>
    <w:rsid w:val="00CD4F1D"/>
    <w:rsid w:val="00CD5FE2"/>
    <w:rsid w:val="00CE0A3C"/>
    <w:rsid w:val="00CE0A64"/>
    <w:rsid w:val="00CE1400"/>
    <w:rsid w:val="00CE1AAF"/>
    <w:rsid w:val="00CE2BFA"/>
    <w:rsid w:val="00CF60B5"/>
    <w:rsid w:val="00CF72F4"/>
    <w:rsid w:val="00D02A8C"/>
    <w:rsid w:val="00D02F38"/>
    <w:rsid w:val="00D03827"/>
    <w:rsid w:val="00D05CAE"/>
    <w:rsid w:val="00D05DE8"/>
    <w:rsid w:val="00D123CB"/>
    <w:rsid w:val="00D12B43"/>
    <w:rsid w:val="00D15F46"/>
    <w:rsid w:val="00D16824"/>
    <w:rsid w:val="00D21669"/>
    <w:rsid w:val="00D2480A"/>
    <w:rsid w:val="00D25054"/>
    <w:rsid w:val="00D252CB"/>
    <w:rsid w:val="00D2617D"/>
    <w:rsid w:val="00D31827"/>
    <w:rsid w:val="00D32688"/>
    <w:rsid w:val="00D33FB6"/>
    <w:rsid w:val="00D3500F"/>
    <w:rsid w:val="00D35A18"/>
    <w:rsid w:val="00D35BD2"/>
    <w:rsid w:val="00D371B3"/>
    <w:rsid w:val="00D4519D"/>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6B81"/>
    <w:rsid w:val="00D77D17"/>
    <w:rsid w:val="00D80D3B"/>
    <w:rsid w:val="00D82BCB"/>
    <w:rsid w:val="00D82D97"/>
    <w:rsid w:val="00D8339E"/>
    <w:rsid w:val="00D855DF"/>
    <w:rsid w:val="00D956E1"/>
    <w:rsid w:val="00D96017"/>
    <w:rsid w:val="00D9625C"/>
    <w:rsid w:val="00DA151F"/>
    <w:rsid w:val="00DA1AF1"/>
    <w:rsid w:val="00DA2C9F"/>
    <w:rsid w:val="00DA400C"/>
    <w:rsid w:val="00DA453C"/>
    <w:rsid w:val="00DB0988"/>
    <w:rsid w:val="00DB0DC2"/>
    <w:rsid w:val="00DB1258"/>
    <w:rsid w:val="00DB15B2"/>
    <w:rsid w:val="00DB3604"/>
    <w:rsid w:val="00DB38F3"/>
    <w:rsid w:val="00DB602D"/>
    <w:rsid w:val="00DC1120"/>
    <w:rsid w:val="00DC2412"/>
    <w:rsid w:val="00DC53B9"/>
    <w:rsid w:val="00DD1BFC"/>
    <w:rsid w:val="00DD1EAE"/>
    <w:rsid w:val="00DD201E"/>
    <w:rsid w:val="00DD3C56"/>
    <w:rsid w:val="00DD40BD"/>
    <w:rsid w:val="00DD447F"/>
    <w:rsid w:val="00DD6ED6"/>
    <w:rsid w:val="00DE26C6"/>
    <w:rsid w:val="00DE341F"/>
    <w:rsid w:val="00DE4B44"/>
    <w:rsid w:val="00DE6323"/>
    <w:rsid w:val="00DF01A2"/>
    <w:rsid w:val="00DF248C"/>
    <w:rsid w:val="00DF2CCC"/>
    <w:rsid w:val="00E01B9A"/>
    <w:rsid w:val="00E03633"/>
    <w:rsid w:val="00E104B7"/>
    <w:rsid w:val="00E1127A"/>
    <w:rsid w:val="00E12D9B"/>
    <w:rsid w:val="00E21308"/>
    <w:rsid w:val="00E229C3"/>
    <w:rsid w:val="00E261A3"/>
    <w:rsid w:val="00E27E25"/>
    <w:rsid w:val="00E304DD"/>
    <w:rsid w:val="00E31F06"/>
    <w:rsid w:val="00E363DC"/>
    <w:rsid w:val="00E37BA9"/>
    <w:rsid w:val="00E37EF1"/>
    <w:rsid w:val="00E4156C"/>
    <w:rsid w:val="00E43545"/>
    <w:rsid w:val="00E43BA3"/>
    <w:rsid w:val="00E448E2"/>
    <w:rsid w:val="00E474E8"/>
    <w:rsid w:val="00E521F7"/>
    <w:rsid w:val="00E536CE"/>
    <w:rsid w:val="00E55FC6"/>
    <w:rsid w:val="00E56A64"/>
    <w:rsid w:val="00E61144"/>
    <w:rsid w:val="00E6151E"/>
    <w:rsid w:val="00E62860"/>
    <w:rsid w:val="00E63ECB"/>
    <w:rsid w:val="00E67D99"/>
    <w:rsid w:val="00E70D5B"/>
    <w:rsid w:val="00E712F4"/>
    <w:rsid w:val="00E71BA6"/>
    <w:rsid w:val="00E7275C"/>
    <w:rsid w:val="00E72B1C"/>
    <w:rsid w:val="00E7327D"/>
    <w:rsid w:val="00E762FE"/>
    <w:rsid w:val="00E77E73"/>
    <w:rsid w:val="00E83B4B"/>
    <w:rsid w:val="00E83E02"/>
    <w:rsid w:val="00E8442D"/>
    <w:rsid w:val="00E8445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A7C2A"/>
    <w:rsid w:val="00EB18D9"/>
    <w:rsid w:val="00EB2758"/>
    <w:rsid w:val="00EC070F"/>
    <w:rsid w:val="00EC227A"/>
    <w:rsid w:val="00EC2C66"/>
    <w:rsid w:val="00EC3933"/>
    <w:rsid w:val="00EC65A3"/>
    <w:rsid w:val="00EC6EA6"/>
    <w:rsid w:val="00ED01AE"/>
    <w:rsid w:val="00ED2C5C"/>
    <w:rsid w:val="00ED34A3"/>
    <w:rsid w:val="00ED5A96"/>
    <w:rsid w:val="00ED7C80"/>
    <w:rsid w:val="00EE1193"/>
    <w:rsid w:val="00EE1C34"/>
    <w:rsid w:val="00EE1D22"/>
    <w:rsid w:val="00EF08C5"/>
    <w:rsid w:val="00EF0906"/>
    <w:rsid w:val="00EF5176"/>
    <w:rsid w:val="00EF76C7"/>
    <w:rsid w:val="00EF7E64"/>
    <w:rsid w:val="00F006D1"/>
    <w:rsid w:val="00F019C8"/>
    <w:rsid w:val="00F02A74"/>
    <w:rsid w:val="00F02E93"/>
    <w:rsid w:val="00F0515B"/>
    <w:rsid w:val="00F05318"/>
    <w:rsid w:val="00F06641"/>
    <w:rsid w:val="00F06667"/>
    <w:rsid w:val="00F076E0"/>
    <w:rsid w:val="00F07CF8"/>
    <w:rsid w:val="00F10C91"/>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2BFC"/>
    <w:rsid w:val="00F434C5"/>
    <w:rsid w:val="00F474EC"/>
    <w:rsid w:val="00F51E2F"/>
    <w:rsid w:val="00F51FB5"/>
    <w:rsid w:val="00F53615"/>
    <w:rsid w:val="00F5392C"/>
    <w:rsid w:val="00F53C3C"/>
    <w:rsid w:val="00F57A13"/>
    <w:rsid w:val="00F62FF1"/>
    <w:rsid w:val="00F631D8"/>
    <w:rsid w:val="00F64CE9"/>
    <w:rsid w:val="00F65A51"/>
    <w:rsid w:val="00F70FBD"/>
    <w:rsid w:val="00F74091"/>
    <w:rsid w:val="00F76CBF"/>
    <w:rsid w:val="00F77E2A"/>
    <w:rsid w:val="00F8108F"/>
    <w:rsid w:val="00F82187"/>
    <w:rsid w:val="00F84569"/>
    <w:rsid w:val="00F84A7C"/>
    <w:rsid w:val="00F864D5"/>
    <w:rsid w:val="00F932DA"/>
    <w:rsid w:val="00F960A2"/>
    <w:rsid w:val="00F977F5"/>
    <w:rsid w:val="00FA1C5D"/>
    <w:rsid w:val="00FA32B8"/>
    <w:rsid w:val="00FA56D9"/>
    <w:rsid w:val="00FB6E8F"/>
    <w:rsid w:val="00FB7D4A"/>
    <w:rsid w:val="00FC609F"/>
    <w:rsid w:val="00FC79B0"/>
    <w:rsid w:val="00FD1CDF"/>
    <w:rsid w:val="00FD26DB"/>
    <w:rsid w:val="00FD5FE4"/>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1181BDCC"/>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175B16"/>
    <w:pPr>
      <w:ind w:left="720"/>
      <w:contextualSpacing/>
    </w:pPr>
  </w:style>
  <w:style w:type="character" w:customStyle="1" w:styleId="Heading2Char">
    <w:name w:val="Heading 2 Char"/>
    <w:link w:val="Heading2"/>
    <w:rsid w:val="00175B16"/>
    <w:rPr>
      <w:rFonts w:ascii="Arial" w:hAnsi="Arial" w:cs="Arial"/>
      <w:b/>
      <w:bCs/>
      <w:iCs/>
      <w:color w:val="4C8C2B"/>
      <w:sz w:val="32"/>
      <w:szCs w:val="28"/>
    </w:rPr>
  </w:style>
  <w:style w:type="character" w:customStyle="1" w:styleId="FooterChar">
    <w:name w:val="Footer Char"/>
    <w:basedOn w:val="DefaultParagraphFont"/>
    <w:link w:val="Footer"/>
    <w:uiPriority w:val="99"/>
    <w:rsid w:val="00315AA6"/>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lanning.nsw.gov.au/Research-and-Demography/Population-Projections/Projectio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pc.gov.au/research/completed/housing-decisions-older-australia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aihw.gov.au/reports/australias-welfare/homelessness-and-homelessness-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disability/people-with-disability-in-australia/contents/hous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homelessnessnsw.org.au/resource/specialist-homelessness-service-data/"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abs.gov.au/statistics/people/housing/estimating-homelessness-censu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pp.planningportal.nsw.gov.au/populations" TargetMode="External"/><Relationship Id="rId30" Type="http://schemas.openxmlformats.org/officeDocument/2006/relationships/hyperlink" Target="https://www.facs.nsw.gov.au/reforms/homelessness/premiers-priority-to-reduce-street-homelessness/street-count"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EA9D-D7DC-467A-BC78-7BFEDA7D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927</TotalTime>
  <Pages>14</Pages>
  <Words>3370</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22582</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Coast - What's the housing demand</dc:title>
  <dc:creator>Laura Yan Guo</dc:creator>
  <cp:lastModifiedBy>JOSHUA YOUKHANA</cp:lastModifiedBy>
  <cp:revision>86</cp:revision>
  <cp:lastPrinted>1900-12-31T14:00:00Z</cp:lastPrinted>
  <dcterms:created xsi:type="dcterms:W3CDTF">2023-01-17T22:21:00Z</dcterms:created>
  <dcterms:modified xsi:type="dcterms:W3CDTF">2023-09-13T01:36:00Z</dcterms:modified>
</cp:coreProperties>
</file>