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1F6E" w14:textId="77777777" w:rsidR="0050388E" w:rsidRPr="00CE3DDD" w:rsidRDefault="00E1656E" w:rsidP="0050388E">
      <w:pPr>
        <w:rPr>
          <w:color w:val="008000"/>
          <w:sz w:val="32"/>
        </w:rPr>
      </w:pPr>
      <w:r>
        <w:rPr>
          <w:b/>
          <w:color w:val="008000"/>
          <w:sz w:val="32"/>
        </w:rPr>
        <w:t>Illawarra</w:t>
      </w:r>
      <w:r w:rsidR="0050388E">
        <w:rPr>
          <w:b/>
          <w:color w:val="008000"/>
          <w:sz w:val="32"/>
        </w:rPr>
        <w:t xml:space="preserve"> </w:t>
      </w:r>
      <w:r w:rsidR="004C341F">
        <w:rPr>
          <w:b/>
          <w:color w:val="008000"/>
          <w:sz w:val="32"/>
        </w:rPr>
        <w:t xml:space="preserve">Shoalhaven </w:t>
      </w:r>
      <w:r w:rsidR="0050388E">
        <w:rPr>
          <w:b/>
          <w:color w:val="008000"/>
          <w:sz w:val="32"/>
        </w:rPr>
        <w:t xml:space="preserve">Region </w:t>
      </w:r>
      <w:r w:rsidR="0050388E" w:rsidRPr="00CE3DDD">
        <w:rPr>
          <w:b/>
          <w:color w:val="008000"/>
          <w:sz w:val="32"/>
        </w:rPr>
        <w:t xml:space="preserve">– What’s </w:t>
      </w:r>
      <w:r w:rsidR="0050388E">
        <w:rPr>
          <w:b/>
          <w:color w:val="008000"/>
          <w:sz w:val="32"/>
        </w:rPr>
        <w:t xml:space="preserve">Happening in </w:t>
      </w:r>
      <w:r w:rsidR="0050388E" w:rsidRPr="00CE3DDD">
        <w:rPr>
          <w:b/>
          <w:color w:val="008000"/>
          <w:sz w:val="32"/>
        </w:rPr>
        <w:t>the</w:t>
      </w:r>
      <w:r w:rsidR="0050388E">
        <w:rPr>
          <w:b/>
          <w:color w:val="008000"/>
          <w:sz w:val="32"/>
        </w:rPr>
        <w:t xml:space="preserve"> Housing Market</w:t>
      </w:r>
      <w:r w:rsidR="0050388E" w:rsidRPr="00CE3DDD">
        <w:rPr>
          <w:b/>
          <w:color w:val="008000"/>
          <w:sz w:val="32"/>
        </w:rPr>
        <w:t>?</w:t>
      </w:r>
    </w:p>
    <w:p w14:paraId="22BEB20E" w14:textId="77777777" w:rsidR="0050388E" w:rsidRDefault="0050388E" w:rsidP="0050388E">
      <w:pPr>
        <w:rPr>
          <w:sz w:val="20"/>
          <w:szCs w:val="20"/>
        </w:rPr>
      </w:pPr>
    </w:p>
    <w:p w14:paraId="13173B13" w14:textId="5FCF537B" w:rsidR="003E3AC9" w:rsidRDefault="003E3AC9" w:rsidP="003E3AC9">
      <w:pPr>
        <w:rPr>
          <w:sz w:val="22"/>
          <w:szCs w:val="22"/>
        </w:rPr>
      </w:pPr>
      <w:r>
        <w:rPr>
          <w:sz w:val="22"/>
          <w:szCs w:val="22"/>
        </w:rPr>
        <w:t xml:space="preserve">This Housing Snapshot looks at aspects of the housing market in the Illawarra Shoalhaven,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08C17691" w14:textId="77777777" w:rsidR="0050388E" w:rsidRDefault="0050388E" w:rsidP="0050388E">
      <w:pPr>
        <w:rPr>
          <w:sz w:val="22"/>
          <w:szCs w:val="22"/>
        </w:rPr>
      </w:pPr>
      <w:r w:rsidRPr="00EC4AD2">
        <w:rPr>
          <w:sz w:val="22"/>
          <w:szCs w:val="22"/>
        </w:rPr>
        <w:t xml:space="preserve">The </w:t>
      </w:r>
      <w:r w:rsidR="006F3EEE" w:rsidRPr="00EC4AD2">
        <w:rPr>
          <w:sz w:val="22"/>
          <w:szCs w:val="22"/>
        </w:rPr>
        <w:t xml:space="preserve">Illawarra </w:t>
      </w:r>
      <w:r w:rsidR="004C341F" w:rsidRPr="00EC4AD2">
        <w:rPr>
          <w:sz w:val="22"/>
          <w:szCs w:val="22"/>
        </w:rPr>
        <w:t xml:space="preserve">Shoalhaven </w:t>
      </w:r>
      <w:r w:rsidRPr="00EC4AD2">
        <w:rPr>
          <w:sz w:val="22"/>
          <w:szCs w:val="22"/>
        </w:rPr>
        <w:t xml:space="preserve">region </w:t>
      </w:r>
      <w:r w:rsidR="00EC4AD2">
        <w:rPr>
          <w:sz w:val="22"/>
          <w:szCs w:val="22"/>
        </w:rPr>
        <w:t>comprises</w:t>
      </w:r>
      <w:r w:rsidR="006F3EEE" w:rsidRPr="00EC4AD2">
        <w:rPr>
          <w:sz w:val="22"/>
          <w:szCs w:val="22"/>
        </w:rPr>
        <w:t xml:space="preserve"> four</w:t>
      </w:r>
      <w:r w:rsidRPr="00EC4AD2">
        <w:rPr>
          <w:sz w:val="22"/>
          <w:szCs w:val="22"/>
        </w:rPr>
        <w:t xml:space="preserve"> local government areas </w:t>
      </w:r>
      <w:r w:rsidR="006F3EEE" w:rsidRPr="00EC4AD2">
        <w:rPr>
          <w:sz w:val="22"/>
          <w:szCs w:val="22"/>
        </w:rPr>
        <w:t>to</w:t>
      </w:r>
      <w:r w:rsidRPr="00EC4AD2">
        <w:rPr>
          <w:sz w:val="22"/>
          <w:szCs w:val="22"/>
        </w:rPr>
        <w:t xml:space="preserve"> the </w:t>
      </w:r>
      <w:r w:rsidR="006F3EEE" w:rsidRPr="00EC4AD2">
        <w:rPr>
          <w:sz w:val="22"/>
          <w:szCs w:val="22"/>
        </w:rPr>
        <w:t xml:space="preserve">south of Sydney on the </w:t>
      </w:r>
      <w:r w:rsidRPr="00EC4AD2">
        <w:rPr>
          <w:sz w:val="22"/>
          <w:szCs w:val="22"/>
        </w:rPr>
        <w:t>coast, including</w:t>
      </w:r>
      <w:r w:rsidR="006F3EEE" w:rsidRPr="00EC4AD2">
        <w:rPr>
          <w:sz w:val="22"/>
          <w:szCs w:val="22"/>
        </w:rPr>
        <w:t xml:space="preserve"> the city of Wollongong and</w:t>
      </w:r>
      <w:r w:rsidRPr="00EC4AD2">
        <w:rPr>
          <w:sz w:val="22"/>
          <w:szCs w:val="22"/>
        </w:rPr>
        <w:t xml:space="preserve"> significant regional centres.  While there are differences across the region in median rent and house prices and rent and house price growth, there has been a reduction in rental affordability in every LGA in the region</w:t>
      </w:r>
      <w:r w:rsidR="00EC4AD2">
        <w:rPr>
          <w:sz w:val="22"/>
          <w:szCs w:val="22"/>
        </w:rPr>
        <w:t>, along with</w:t>
      </w:r>
      <w:r w:rsidRPr="00EC4AD2">
        <w:rPr>
          <w:sz w:val="22"/>
          <w:szCs w:val="22"/>
        </w:rPr>
        <w:t xml:space="preserve"> a loss</w:t>
      </w:r>
      <w:r w:rsidR="0001657D" w:rsidRPr="00EC4AD2">
        <w:rPr>
          <w:sz w:val="22"/>
          <w:szCs w:val="22"/>
        </w:rPr>
        <w:t xml:space="preserve"> of affordable rental housing and an increase in the number of low income rental households in housing stress.</w:t>
      </w:r>
      <w:r w:rsidRPr="0050388E">
        <w:rPr>
          <w:sz w:val="22"/>
          <w:szCs w:val="22"/>
        </w:rPr>
        <w:t xml:space="preserve"> </w:t>
      </w:r>
    </w:p>
    <w:p w14:paraId="00EE43FD" w14:textId="77777777" w:rsidR="00BC3BEC" w:rsidRPr="002B2D5B" w:rsidRDefault="00BC3BEC" w:rsidP="00BC3BEC">
      <w:pPr>
        <w:rPr>
          <w:sz w:val="22"/>
          <w:szCs w:val="22"/>
        </w:rPr>
      </w:pPr>
      <w:r>
        <w:rPr>
          <w:sz w:val="22"/>
          <w:szCs w:val="22"/>
        </w:rPr>
        <w:t xml:space="preserve">There have been changes across the Illawarra Shoalhaven since the 2021 Census, with Covid having an impact on the </w:t>
      </w:r>
      <w:r w:rsidRPr="002B2D5B">
        <w:rPr>
          <w:sz w:val="22"/>
          <w:szCs w:val="22"/>
        </w:rPr>
        <w:t>housing market</w:t>
      </w:r>
      <w:r>
        <w:rPr>
          <w:sz w:val="22"/>
          <w:szCs w:val="22"/>
        </w:rPr>
        <w:t xml:space="preserve">. Recent additional cost of living pressures, including rising inflation and interest rates with continued low wage growth, have created further difficulties for lower income earners and their capacity to manage housing costs.  </w:t>
      </w:r>
    </w:p>
    <w:p w14:paraId="4FB2F3F0" w14:textId="77777777" w:rsidR="0050388E" w:rsidRDefault="0050388E" w:rsidP="0050388E"/>
    <w:p w14:paraId="1F450C6B" w14:textId="77777777" w:rsidR="0050388E" w:rsidRDefault="0050388E" w:rsidP="0050388E"/>
    <w:p w14:paraId="36FA15BA" w14:textId="77777777" w:rsidR="00E1656E" w:rsidRDefault="00E1656E" w:rsidP="00E1656E">
      <w:pPr>
        <w:jc w:val="both"/>
        <w:rPr>
          <w:b/>
          <w:color w:val="008000"/>
          <w:sz w:val="32"/>
        </w:rPr>
      </w:pPr>
      <w:r>
        <w:rPr>
          <w:b/>
          <w:color w:val="008000"/>
          <w:sz w:val="32"/>
        </w:rPr>
        <w:t>Illawarra</w:t>
      </w:r>
      <w:r w:rsidR="004C341F">
        <w:rPr>
          <w:b/>
          <w:color w:val="008000"/>
          <w:sz w:val="32"/>
        </w:rPr>
        <w:t xml:space="preserve"> Shoalhaven</w:t>
      </w:r>
      <w:r>
        <w:rPr>
          <w:b/>
          <w:color w:val="008000"/>
          <w:sz w:val="32"/>
        </w:rPr>
        <w:t xml:space="preserve"> Region </w:t>
      </w:r>
      <w:r w:rsidRPr="00CE3DDD">
        <w:rPr>
          <w:b/>
          <w:color w:val="008000"/>
          <w:sz w:val="32"/>
        </w:rPr>
        <w:t xml:space="preserve">– What’s </w:t>
      </w:r>
      <w:r>
        <w:rPr>
          <w:b/>
          <w:color w:val="008000"/>
          <w:sz w:val="32"/>
        </w:rPr>
        <w:t xml:space="preserve">Happening in </w:t>
      </w:r>
      <w:r w:rsidRPr="00CE3DDD">
        <w:rPr>
          <w:b/>
          <w:color w:val="008000"/>
          <w:sz w:val="32"/>
        </w:rPr>
        <w:t>the</w:t>
      </w:r>
      <w:r>
        <w:rPr>
          <w:b/>
          <w:color w:val="008000"/>
          <w:sz w:val="32"/>
        </w:rPr>
        <w:t xml:space="preserve"> </w:t>
      </w:r>
      <w:r w:rsidRPr="00CE3DDD">
        <w:rPr>
          <w:b/>
          <w:color w:val="008000"/>
          <w:sz w:val="32"/>
        </w:rPr>
        <w:t>Housing</w:t>
      </w:r>
      <w:r>
        <w:rPr>
          <w:b/>
          <w:color w:val="008000"/>
          <w:sz w:val="32"/>
        </w:rPr>
        <w:t xml:space="preserve"> Market</w:t>
      </w:r>
      <w:r w:rsidRPr="00CE3DDD">
        <w:rPr>
          <w:b/>
          <w:color w:val="008000"/>
          <w:sz w:val="32"/>
        </w:rPr>
        <w:t>?</w:t>
      </w:r>
    </w:p>
    <w:p w14:paraId="33204488" w14:textId="77777777" w:rsidR="00E1656E" w:rsidRPr="006F3EEE" w:rsidRDefault="00E1656E" w:rsidP="00E1656E">
      <w:pPr>
        <w:pStyle w:val="Heading1"/>
        <w:jc w:val="both"/>
        <w:rPr>
          <w:b/>
          <w:i/>
          <w:color w:val="008000"/>
          <w:kern w:val="0"/>
          <w:sz w:val="32"/>
        </w:rPr>
      </w:pPr>
      <w:r w:rsidRPr="006F3EEE">
        <w:rPr>
          <w:b/>
          <w:i/>
          <w:color w:val="008000"/>
          <w:kern w:val="0"/>
          <w:sz w:val="32"/>
        </w:rPr>
        <w:t>Housing Market - Rental</w:t>
      </w:r>
    </w:p>
    <w:p w14:paraId="77F1E594" w14:textId="77777777" w:rsidR="00E1656E" w:rsidRDefault="00E1656E" w:rsidP="00E1656E">
      <w:pPr>
        <w:jc w:val="both"/>
      </w:pPr>
    </w:p>
    <w:p w14:paraId="1601463F" w14:textId="77777777" w:rsidR="00E1656E" w:rsidRPr="001C58F3" w:rsidRDefault="00E1656E" w:rsidP="00E1656E">
      <w:pPr>
        <w:jc w:val="both"/>
        <w:rPr>
          <w:b/>
          <w:color w:val="008000"/>
          <w:sz w:val="32"/>
        </w:rPr>
      </w:pPr>
      <w:r>
        <w:rPr>
          <w:b/>
          <w:color w:val="008000"/>
          <w:sz w:val="32"/>
        </w:rPr>
        <w:t>R</w:t>
      </w:r>
      <w:r w:rsidRPr="001C58F3">
        <w:rPr>
          <w:b/>
          <w:color w:val="008000"/>
          <w:sz w:val="32"/>
        </w:rPr>
        <w:t>e</w:t>
      </w:r>
      <w:r>
        <w:rPr>
          <w:b/>
          <w:color w:val="008000"/>
          <w:sz w:val="32"/>
        </w:rPr>
        <w:t>nts</w:t>
      </w:r>
    </w:p>
    <w:p w14:paraId="49F08C85" w14:textId="77777777" w:rsidR="000D75B6" w:rsidRDefault="00E1656E" w:rsidP="001A69A0">
      <w:pPr>
        <w:numPr>
          <w:ilvl w:val="0"/>
          <w:numId w:val="2"/>
        </w:numPr>
        <w:spacing w:before="0" w:after="0"/>
        <w:jc w:val="both"/>
        <w:rPr>
          <w:sz w:val="22"/>
          <w:szCs w:val="22"/>
        </w:rPr>
      </w:pPr>
      <w:r w:rsidRPr="00E9012F">
        <w:rPr>
          <w:sz w:val="22"/>
          <w:szCs w:val="22"/>
        </w:rPr>
        <w:t xml:space="preserve">There have been strong increases in median rents in all bedroom categories in the Illawarra </w:t>
      </w:r>
      <w:r w:rsidR="004F3997">
        <w:rPr>
          <w:sz w:val="22"/>
          <w:szCs w:val="22"/>
        </w:rPr>
        <w:t xml:space="preserve">Shoalhaven </w:t>
      </w:r>
      <w:r w:rsidRPr="00E9012F">
        <w:rPr>
          <w:sz w:val="22"/>
          <w:szCs w:val="22"/>
        </w:rPr>
        <w:t xml:space="preserve">region for </w:t>
      </w:r>
      <w:r w:rsidR="00E401FF">
        <w:rPr>
          <w:sz w:val="22"/>
          <w:szCs w:val="22"/>
        </w:rPr>
        <w:t xml:space="preserve">over </w:t>
      </w:r>
      <w:r w:rsidR="00231827">
        <w:rPr>
          <w:sz w:val="22"/>
          <w:szCs w:val="22"/>
        </w:rPr>
        <w:t>two</w:t>
      </w:r>
      <w:r w:rsidR="00E401FF">
        <w:rPr>
          <w:sz w:val="22"/>
          <w:szCs w:val="22"/>
        </w:rPr>
        <w:t xml:space="preserve"> decade</w:t>
      </w:r>
      <w:r w:rsidR="00231827">
        <w:rPr>
          <w:sz w:val="22"/>
          <w:szCs w:val="22"/>
        </w:rPr>
        <w:t>s</w:t>
      </w:r>
      <w:r w:rsidRPr="00E9012F">
        <w:rPr>
          <w:sz w:val="22"/>
          <w:szCs w:val="22"/>
        </w:rPr>
        <w:t xml:space="preserve">, </w:t>
      </w:r>
      <w:r w:rsidR="00E9012F">
        <w:rPr>
          <w:sz w:val="22"/>
          <w:szCs w:val="22"/>
        </w:rPr>
        <w:t>as the graph below demonstrates.</w:t>
      </w:r>
      <w:r w:rsidR="000D75B6">
        <w:rPr>
          <w:sz w:val="22"/>
          <w:szCs w:val="22"/>
        </w:rPr>
        <w:t xml:space="preserve">  It tracks the change </w:t>
      </w:r>
      <w:r w:rsidR="000D75B6" w:rsidRPr="00834632">
        <w:rPr>
          <w:sz w:val="22"/>
          <w:szCs w:val="22"/>
        </w:rPr>
        <w:t>in median rent</w:t>
      </w:r>
      <w:r w:rsidR="000D75B6">
        <w:rPr>
          <w:sz w:val="22"/>
          <w:szCs w:val="22"/>
        </w:rPr>
        <w:t xml:space="preserve"> (for all dwellings</w:t>
      </w:r>
      <w:r w:rsidR="0027324C">
        <w:rPr>
          <w:sz w:val="22"/>
          <w:szCs w:val="22"/>
        </w:rPr>
        <w:t>, including all bedroom categories</w:t>
      </w:r>
      <w:r w:rsidR="000D75B6">
        <w:rPr>
          <w:sz w:val="22"/>
          <w:szCs w:val="22"/>
        </w:rPr>
        <w:t>)</w:t>
      </w:r>
      <w:r w:rsidR="000D75B6" w:rsidRPr="00834632">
        <w:rPr>
          <w:sz w:val="22"/>
          <w:szCs w:val="22"/>
        </w:rPr>
        <w:t xml:space="preserve"> for </w:t>
      </w:r>
      <w:r w:rsidR="007A7985">
        <w:rPr>
          <w:sz w:val="22"/>
          <w:szCs w:val="22"/>
        </w:rPr>
        <w:t>each of</w:t>
      </w:r>
      <w:r w:rsidR="000D75B6" w:rsidRPr="00834632">
        <w:rPr>
          <w:sz w:val="22"/>
          <w:szCs w:val="22"/>
        </w:rPr>
        <w:t xml:space="preserve"> the </w:t>
      </w:r>
      <w:r w:rsidR="000D75B6">
        <w:rPr>
          <w:sz w:val="22"/>
          <w:szCs w:val="22"/>
        </w:rPr>
        <w:t xml:space="preserve">Illawarra Shoalhaven </w:t>
      </w:r>
      <w:r w:rsidR="000D75B6" w:rsidRPr="00834632">
        <w:rPr>
          <w:sz w:val="22"/>
          <w:szCs w:val="22"/>
        </w:rPr>
        <w:t>LGAs from June 1990 to June 20</w:t>
      </w:r>
      <w:r w:rsidR="000D75B6">
        <w:rPr>
          <w:sz w:val="22"/>
          <w:szCs w:val="22"/>
        </w:rPr>
        <w:t>22.</w:t>
      </w:r>
    </w:p>
    <w:p w14:paraId="2C4B958C" w14:textId="77777777" w:rsidR="00E9012F" w:rsidRDefault="00E9012F" w:rsidP="00202F1C">
      <w:pPr>
        <w:spacing w:before="0" w:after="0"/>
        <w:ind w:left="360"/>
        <w:jc w:val="both"/>
        <w:rPr>
          <w:sz w:val="22"/>
          <w:szCs w:val="22"/>
        </w:rPr>
      </w:pPr>
    </w:p>
    <w:p w14:paraId="6AB4DD6B" w14:textId="77777777" w:rsidR="00E9012F" w:rsidRDefault="00E9012F" w:rsidP="00E9012F">
      <w:pPr>
        <w:spacing w:before="0" w:after="0"/>
        <w:jc w:val="both"/>
        <w:rPr>
          <w:sz w:val="22"/>
          <w:szCs w:val="22"/>
        </w:rPr>
      </w:pPr>
    </w:p>
    <w:p w14:paraId="379F4F9A" w14:textId="77777777" w:rsidR="00E9012F" w:rsidRDefault="00BC3BEC" w:rsidP="00E9012F">
      <w:pPr>
        <w:spacing w:before="0" w:after="0"/>
        <w:jc w:val="both"/>
        <w:rPr>
          <w:sz w:val="22"/>
          <w:szCs w:val="22"/>
        </w:rPr>
      </w:pPr>
      <w:r>
        <w:rPr>
          <w:noProof/>
          <w:sz w:val="22"/>
          <w:szCs w:val="22"/>
        </w:rPr>
        <w:lastRenderedPageBreak/>
        <w:drawing>
          <wp:inline distT="0" distB="0" distL="0" distR="0" wp14:anchorId="07117D50" wp14:editId="450109A7">
            <wp:extent cx="6080125" cy="272317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871" cy="2734707"/>
                    </a:xfrm>
                    <a:prstGeom prst="rect">
                      <a:avLst/>
                    </a:prstGeom>
                    <a:noFill/>
                  </pic:spPr>
                </pic:pic>
              </a:graphicData>
            </a:graphic>
          </wp:inline>
        </w:drawing>
      </w:r>
    </w:p>
    <w:p w14:paraId="75BD98D7" w14:textId="77777777" w:rsidR="0000027D" w:rsidRDefault="0000027D" w:rsidP="00E9012F">
      <w:pPr>
        <w:spacing w:before="0" w:after="0"/>
        <w:jc w:val="both"/>
        <w:rPr>
          <w:sz w:val="22"/>
          <w:szCs w:val="22"/>
        </w:rPr>
      </w:pPr>
    </w:p>
    <w:p w14:paraId="059D5E67" w14:textId="77777777" w:rsidR="00202F1C" w:rsidRDefault="00202F1C" w:rsidP="001A69A0">
      <w:pPr>
        <w:pStyle w:val="ListParagraph"/>
        <w:numPr>
          <w:ilvl w:val="0"/>
          <w:numId w:val="13"/>
        </w:numPr>
        <w:spacing w:before="0" w:after="0"/>
        <w:rPr>
          <w:sz w:val="22"/>
          <w:szCs w:val="22"/>
        </w:rPr>
      </w:pPr>
      <w:r>
        <w:rPr>
          <w:sz w:val="22"/>
          <w:szCs w:val="22"/>
        </w:rPr>
        <w:t xml:space="preserve">Between 2019 and 2020 when Covid lockdowns were introduced, median rents in the Illawarra Shoalhaven region local government areas were fairly stable – with no change, slight increases or slight decreases in median rents </w:t>
      </w:r>
      <w:r w:rsidR="005D7CAD">
        <w:rPr>
          <w:sz w:val="22"/>
          <w:szCs w:val="22"/>
        </w:rPr>
        <w:t xml:space="preserve">- </w:t>
      </w:r>
      <w:r>
        <w:rPr>
          <w:sz w:val="22"/>
          <w:szCs w:val="22"/>
        </w:rPr>
        <w:t xml:space="preserve">as the table below demonstrates. </w:t>
      </w:r>
      <w:r w:rsidR="00231827">
        <w:rPr>
          <w:sz w:val="22"/>
          <w:szCs w:val="22"/>
        </w:rPr>
        <w:t xml:space="preserve"> This is in line with the trend elsewhere in NSW.</w:t>
      </w:r>
    </w:p>
    <w:p w14:paraId="013B5749" w14:textId="77777777" w:rsidR="00202F1C" w:rsidRDefault="00202F1C" w:rsidP="001A69A0">
      <w:pPr>
        <w:pStyle w:val="ListParagraph"/>
        <w:numPr>
          <w:ilvl w:val="0"/>
          <w:numId w:val="13"/>
        </w:numPr>
        <w:spacing w:before="0" w:after="0"/>
        <w:rPr>
          <w:sz w:val="22"/>
          <w:szCs w:val="22"/>
        </w:rPr>
      </w:pPr>
      <w:r>
        <w:rPr>
          <w:sz w:val="22"/>
          <w:szCs w:val="22"/>
        </w:rPr>
        <w:t>During that period, the largest percentage decline in median rents occurred in Kiama LGA for one bedroom homes (-7.5</w:t>
      </w:r>
      <w:r w:rsidR="00234950">
        <w:rPr>
          <w:sz w:val="22"/>
          <w:szCs w:val="22"/>
        </w:rPr>
        <w:t xml:space="preserve">%), </w:t>
      </w:r>
      <w:r>
        <w:rPr>
          <w:sz w:val="22"/>
          <w:szCs w:val="22"/>
        </w:rPr>
        <w:t>while the biggest increase was for three bedroom homes in Kiama (5.8%).  As is evident from the table below most LGAs had no increase in median rents over that year in at least one bedroom category.</w:t>
      </w:r>
    </w:p>
    <w:p w14:paraId="5C903208" w14:textId="77777777" w:rsidR="0000027D" w:rsidRDefault="0000027D" w:rsidP="00E9012F">
      <w:pPr>
        <w:spacing w:before="0" w:after="0"/>
        <w:jc w:val="both"/>
        <w:rPr>
          <w:sz w:val="22"/>
          <w:szCs w:val="22"/>
        </w:rPr>
      </w:pPr>
    </w:p>
    <w:p w14:paraId="22DC44AF" w14:textId="77777777" w:rsidR="0000027D" w:rsidRDefault="0000027D" w:rsidP="00E9012F">
      <w:pPr>
        <w:spacing w:before="0" w:after="0"/>
        <w:jc w:val="both"/>
        <w:rPr>
          <w:sz w:val="22"/>
          <w:szCs w:val="22"/>
        </w:rPr>
      </w:pPr>
    </w:p>
    <w:p w14:paraId="7743C277" w14:textId="77777777" w:rsidR="0000027D" w:rsidRDefault="0000027D" w:rsidP="00E9012F">
      <w:pPr>
        <w:spacing w:before="0" w:after="0"/>
        <w:jc w:val="both"/>
        <w:rPr>
          <w:sz w:val="22"/>
          <w:szCs w:val="22"/>
        </w:rPr>
      </w:pPr>
      <w:r w:rsidRPr="0000027D">
        <w:rPr>
          <w:noProof/>
        </w:rPr>
        <w:drawing>
          <wp:inline distT="0" distB="0" distL="0" distR="0" wp14:anchorId="53DC3039" wp14:editId="4132CB68">
            <wp:extent cx="6115050" cy="88826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132" cy="890887"/>
                    </a:xfrm>
                    <a:prstGeom prst="rect">
                      <a:avLst/>
                    </a:prstGeom>
                    <a:noFill/>
                    <a:ln>
                      <a:noFill/>
                    </a:ln>
                  </pic:spPr>
                </pic:pic>
              </a:graphicData>
            </a:graphic>
          </wp:inline>
        </w:drawing>
      </w:r>
    </w:p>
    <w:p w14:paraId="7D8847B6" w14:textId="77777777" w:rsidR="0000027D" w:rsidRDefault="0000027D" w:rsidP="00E9012F">
      <w:pPr>
        <w:spacing w:before="0" w:after="0"/>
        <w:jc w:val="both"/>
        <w:rPr>
          <w:sz w:val="22"/>
          <w:szCs w:val="22"/>
        </w:rPr>
      </w:pPr>
    </w:p>
    <w:p w14:paraId="70341450" w14:textId="77777777" w:rsidR="00202F1C" w:rsidRDefault="00202F1C" w:rsidP="001A69A0">
      <w:pPr>
        <w:pStyle w:val="ListParagraph"/>
        <w:numPr>
          <w:ilvl w:val="0"/>
          <w:numId w:val="13"/>
        </w:numPr>
        <w:spacing w:before="0" w:after="0"/>
        <w:rPr>
          <w:sz w:val="22"/>
          <w:szCs w:val="22"/>
        </w:rPr>
      </w:pPr>
      <w:r w:rsidRPr="00AE5F23">
        <w:rPr>
          <w:sz w:val="22"/>
          <w:szCs w:val="22"/>
        </w:rPr>
        <w:t>However, between 2020 and 2022 when Covid restrictions were relaxed, there were strong increases in median rents across the region, as the table below shows</w:t>
      </w:r>
      <w:r w:rsidR="00231827">
        <w:rPr>
          <w:sz w:val="22"/>
          <w:szCs w:val="22"/>
        </w:rPr>
        <w:t xml:space="preserve"> and is also evident in the graph above</w:t>
      </w:r>
      <w:r w:rsidRPr="00AE5F23">
        <w:rPr>
          <w:sz w:val="22"/>
          <w:szCs w:val="22"/>
        </w:rPr>
        <w:t xml:space="preserve">.  </w:t>
      </w:r>
    </w:p>
    <w:p w14:paraId="18FC435E" w14:textId="77777777" w:rsidR="00202F1C" w:rsidRPr="00AE5F23" w:rsidRDefault="00FC298D" w:rsidP="001A69A0">
      <w:pPr>
        <w:pStyle w:val="ListParagraph"/>
        <w:numPr>
          <w:ilvl w:val="0"/>
          <w:numId w:val="13"/>
        </w:numPr>
        <w:spacing w:before="0" w:after="0"/>
        <w:rPr>
          <w:sz w:val="22"/>
          <w:szCs w:val="22"/>
        </w:rPr>
      </w:pPr>
      <w:r>
        <w:rPr>
          <w:sz w:val="22"/>
          <w:szCs w:val="22"/>
        </w:rPr>
        <w:t>The largest increases in median rents in dollar terms over that period were in Kiama</w:t>
      </w:r>
      <w:r w:rsidR="00202F1C" w:rsidRPr="00AE5F23">
        <w:rPr>
          <w:sz w:val="22"/>
          <w:szCs w:val="22"/>
        </w:rPr>
        <w:t xml:space="preserve"> ($</w:t>
      </w:r>
      <w:r>
        <w:rPr>
          <w:sz w:val="22"/>
          <w:szCs w:val="22"/>
        </w:rPr>
        <w:t>300</w:t>
      </w:r>
      <w:r w:rsidR="00202F1C" w:rsidRPr="00AE5F23">
        <w:rPr>
          <w:sz w:val="22"/>
          <w:szCs w:val="22"/>
        </w:rPr>
        <w:t xml:space="preserve"> for 4 bedroom</w:t>
      </w:r>
      <w:r>
        <w:rPr>
          <w:sz w:val="22"/>
          <w:szCs w:val="22"/>
        </w:rPr>
        <w:t xml:space="preserve"> homes</w:t>
      </w:r>
      <w:r w:rsidR="00202F1C" w:rsidRPr="00AE5F23">
        <w:rPr>
          <w:sz w:val="22"/>
          <w:szCs w:val="22"/>
        </w:rPr>
        <w:t xml:space="preserve">), </w:t>
      </w:r>
      <w:r>
        <w:rPr>
          <w:sz w:val="22"/>
          <w:szCs w:val="22"/>
        </w:rPr>
        <w:t xml:space="preserve">Shellharbour </w:t>
      </w:r>
      <w:r w:rsidR="00202F1C" w:rsidRPr="00AE5F23">
        <w:rPr>
          <w:sz w:val="22"/>
          <w:szCs w:val="22"/>
        </w:rPr>
        <w:t>($</w:t>
      </w:r>
      <w:r w:rsidR="00202F1C">
        <w:rPr>
          <w:sz w:val="22"/>
          <w:szCs w:val="22"/>
        </w:rPr>
        <w:t>1</w:t>
      </w:r>
      <w:r>
        <w:rPr>
          <w:sz w:val="22"/>
          <w:szCs w:val="22"/>
        </w:rPr>
        <w:t>22</w:t>
      </w:r>
      <w:r w:rsidR="00202F1C" w:rsidRPr="00AE5F23">
        <w:rPr>
          <w:sz w:val="22"/>
          <w:szCs w:val="22"/>
        </w:rPr>
        <w:t xml:space="preserve"> for </w:t>
      </w:r>
      <w:r>
        <w:rPr>
          <w:sz w:val="22"/>
          <w:szCs w:val="22"/>
        </w:rPr>
        <w:t>2</w:t>
      </w:r>
      <w:r w:rsidR="00202F1C" w:rsidRPr="00AE5F23">
        <w:rPr>
          <w:sz w:val="22"/>
          <w:szCs w:val="22"/>
        </w:rPr>
        <w:t xml:space="preserve"> bedroom</w:t>
      </w:r>
      <w:r>
        <w:rPr>
          <w:sz w:val="22"/>
          <w:szCs w:val="22"/>
        </w:rPr>
        <w:t xml:space="preserve"> and $118 for 3 bedroom</w:t>
      </w:r>
      <w:r w:rsidR="00202F1C" w:rsidRPr="00AE5F23">
        <w:rPr>
          <w:sz w:val="22"/>
          <w:szCs w:val="22"/>
        </w:rPr>
        <w:t xml:space="preserve">) and </w:t>
      </w:r>
      <w:r>
        <w:rPr>
          <w:sz w:val="22"/>
          <w:szCs w:val="22"/>
        </w:rPr>
        <w:t xml:space="preserve">Wollongong </w:t>
      </w:r>
      <w:r w:rsidR="00202F1C" w:rsidRPr="00AE5F23">
        <w:rPr>
          <w:sz w:val="22"/>
          <w:szCs w:val="22"/>
        </w:rPr>
        <w:t>($</w:t>
      </w:r>
      <w:r>
        <w:rPr>
          <w:sz w:val="22"/>
          <w:szCs w:val="22"/>
        </w:rPr>
        <w:t>60</w:t>
      </w:r>
      <w:r w:rsidR="00202F1C" w:rsidRPr="00AE5F23">
        <w:rPr>
          <w:sz w:val="22"/>
          <w:szCs w:val="22"/>
        </w:rPr>
        <w:t xml:space="preserve"> for </w:t>
      </w:r>
      <w:r>
        <w:rPr>
          <w:sz w:val="22"/>
          <w:szCs w:val="22"/>
        </w:rPr>
        <w:t xml:space="preserve">1 </w:t>
      </w:r>
      <w:r w:rsidR="00202F1C" w:rsidRPr="00AE5F23">
        <w:rPr>
          <w:sz w:val="22"/>
          <w:szCs w:val="22"/>
        </w:rPr>
        <w:t xml:space="preserve">bedroom).  </w:t>
      </w:r>
      <w:r>
        <w:rPr>
          <w:sz w:val="22"/>
          <w:szCs w:val="22"/>
        </w:rPr>
        <w:t>Shoalhaven also experienced strong increases in median rents over this time frame</w:t>
      </w:r>
      <w:r w:rsidR="00202F1C" w:rsidRPr="00AE5F23">
        <w:rPr>
          <w:sz w:val="22"/>
          <w:szCs w:val="22"/>
        </w:rPr>
        <w:t>.</w:t>
      </w:r>
    </w:p>
    <w:p w14:paraId="20B11BD5" w14:textId="77777777" w:rsidR="00202F1C" w:rsidRPr="009D21A3" w:rsidRDefault="00202F1C" w:rsidP="001A69A0">
      <w:pPr>
        <w:pStyle w:val="ListParagraph"/>
        <w:numPr>
          <w:ilvl w:val="0"/>
          <w:numId w:val="13"/>
        </w:numPr>
        <w:spacing w:before="0" w:after="0"/>
        <w:rPr>
          <w:sz w:val="22"/>
          <w:szCs w:val="22"/>
        </w:rPr>
      </w:pPr>
      <w:r w:rsidRPr="009D21A3">
        <w:rPr>
          <w:sz w:val="22"/>
          <w:szCs w:val="22"/>
        </w:rPr>
        <w:t>In percentage terms, increases in median rents were robust across all local government areas and bedroom categories in the</w:t>
      </w:r>
      <w:r w:rsidR="00FC298D">
        <w:rPr>
          <w:sz w:val="22"/>
          <w:szCs w:val="22"/>
        </w:rPr>
        <w:t xml:space="preserve"> Illawarra Shoalhaven</w:t>
      </w:r>
      <w:r w:rsidRPr="009D21A3">
        <w:rPr>
          <w:sz w:val="22"/>
          <w:szCs w:val="22"/>
        </w:rPr>
        <w:t xml:space="preserve">. </w:t>
      </w:r>
    </w:p>
    <w:p w14:paraId="45857413" w14:textId="77777777" w:rsidR="00202F1C" w:rsidRDefault="00202F1C" w:rsidP="001A69A0">
      <w:pPr>
        <w:pStyle w:val="ListParagraph"/>
        <w:numPr>
          <w:ilvl w:val="0"/>
          <w:numId w:val="13"/>
        </w:numPr>
        <w:spacing w:before="0" w:after="0"/>
        <w:rPr>
          <w:sz w:val="22"/>
          <w:szCs w:val="22"/>
        </w:rPr>
      </w:pPr>
      <w:r>
        <w:rPr>
          <w:sz w:val="22"/>
          <w:szCs w:val="22"/>
        </w:rPr>
        <w:t xml:space="preserve">Overall the highest percentage increase in median rents between June 2020 and June 2022 </w:t>
      </w:r>
      <w:r w:rsidR="00374CE3">
        <w:rPr>
          <w:sz w:val="22"/>
          <w:szCs w:val="22"/>
        </w:rPr>
        <w:t xml:space="preserve">occurred </w:t>
      </w:r>
      <w:r>
        <w:rPr>
          <w:sz w:val="22"/>
          <w:szCs w:val="22"/>
        </w:rPr>
        <w:t xml:space="preserve">for one bedroom homes in </w:t>
      </w:r>
      <w:r w:rsidR="00FC298D">
        <w:rPr>
          <w:sz w:val="22"/>
          <w:szCs w:val="22"/>
        </w:rPr>
        <w:t>Wollongong</w:t>
      </w:r>
      <w:r>
        <w:rPr>
          <w:sz w:val="22"/>
          <w:szCs w:val="22"/>
        </w:rPr>
        <w:t xml:space="preserve"> (</w:t>
      </w:r>
      <w:r w:rsidR="00FC298D">
        <w:rPr>
          <w:sz w:val="22"/>
          <w:szCs w:val="22"/>
        </w:rPr>
        <w:t>20.7</w:t>
      </w:r>
      <w:r>
        <w:rPr>
          <w:sz w:val="22"/>
          <w:szCs w:val="22"/>
        </w:rPr>
        <w:t>%)</w:t>
      </w:r>
      <w:r w:rsidR="00374CE3">
        <w:rPr>
          <w:sz w:val="22"/>
          <w:szCs w:val="22"/>
        </w:rPr>
        <w:t>,</w:t>
      </w:r>
      <w:r>
        <w:rPr>
          <w:sz w:val="22"/>
          <w:szCs w:val="22"/>
        </w:rPr>
        <w:t xml:space="preserve"> </w:t>
      </w:r>
      <w:r w:rsidR="00F27A46">
        <w:rPr>
          <w:sz w:val="22"/>
          <w:szCs w:val="22"/>
        </w:rPr>
        <w:t xml:space="preserve">for </w:t>
      </w:r>
      <w:r>
        <w:rPr>
          <w:sz w:val="22"/>
          <w:szCs w:val="22"/>
        </w:rPr>
        <w:t xml:space="preserve">two bedroom homes in </w:t>
      </w:r>
      <w:r w:rsidR="00F27A46">
        <w:rPr>
          <w:sz w:val="22"/>
          <w:szCs w:val="22"/>
        </w:rPr>
        <w:t>Shellharbour (3</w:t>
      </w:r>
      <w:r>
        <w:rPr>
          <w:sz w:val="22"/>
          <w:szCs w:val="22"/>
        </w:rPr>
        <w:t>3</w:t>
      </w:r>
      <w:r w:rsidR="00F27A46">
        <w:rPr>
          <w:sz w:val="22"/>
          <w:szCs w:val="22"/>
        </w:rPr>
        <w:t>.2</w:t>
      </w:r>
      <w:r>
        <w:rPr>
          <w:sz w:val="22"/>
          <w:szCs w:val="22"/>
        </w:rPr>
        <w:t>%)</w:t>
      </w:r>
      <w:r w:rsidR="00F27A46">
        <w:rPr>
          <w:sz w:val="22"/>
          <w:szCs w:val="22"/>
        </w:rPr>
        <w:t>, for</w:t>
      </w:r>
      <w:r>
        <w:rPr>
          <w:sz w:val="22"/>
          <w:szCs w:val="22"/>
        </w:rPr>
        <w:t xml:space="preserve"> three bedroom homes in </w:t>
      </w:r>
      <w:r w:rsidR="00F27A46">
        <w:rPr>
          <w:sz w:val="22"/>
          <w:szCs w:val="22"/>
        </w:rPr>
        <w:t>Shoalhaven</w:t>
      </w:r>
      <w:r>
        <w:rPr>
          <w:sz w:val="22"/>
          <w:szCs w:val="22"/>
        </w:rPr>
        <w:t xml:space="preserve"> (</w:t>
      </w:r>
      <w:r w:rsidR="00F27A46">
        <w:rPr>
          <w:sz w:val="22"/>
          <w:szCs w:val="22"/>
        </w:rPr>
        <w:t>26.3</w:t>
      </w:r>
      <w:r>
        <w:rPr>
          <w:sz w:val="22"/>
          <w:szCs w:val="22"/>
        </w:rPr>
        <w:t>%)</w:t>
      </w:r>
      <w:r w:rsidR="00F27A46">
        <w:rPr>
          <w:sz w:val="22"/>
          <w:szCs w:val="22"/>
        </w:rPr>
        <w:t xml:space="preserve"> and four bedroom homes in Kiama (50.0%)</w:t>
      </w:r>
      <w:r>
        <w:rPr>
          <w:sz w:val="22"/>
          <w:szCs w:val="22"/>
        </w:rPr>
        <w:t>.</w:t>
      </w:r>
    </w:p>
    <w:p w14:paraId="2BC2D17F" w14:textId="77777777" w:rsidR="00202F1C" w:rsidRDefault="00202F1C" w:rsidP="001A69A0">
      <w:pPr>
        <w:pStyle w:val="ListParagraph"/>
        <w:numPr>
          <w:ilvl w:val="0"/>
          <w:numId w:val="13"/>
        </w:numPr>
        <w:spacing w:before="0" w:after="0"/>
        <w:jc w:val="both"/>
        <w:rPr>
          <w:sz w:val="22"/>
          <w:szCs w:val="22"/>
        </w:rPr>
      </w:pPr>
      <w:r w:rsidRPr="00FE7CBB">
        <w:rPr>
          <w:sz w:val="22"/>
          <w:szCs w:val="22"/>
        </w:rPr>
        <w:t xml:space="preserve">At June 2022, </w:t>
      </w:r>
      <w:r>
        <w:rPr>
          <w:sz w:val="22"/>
          <w:szCs w:val="22"/>
        </w:rPr>
        <w:t>m</w:t>
      </w:r>
      <w:r w:rsidRPr="00FE7CBB">
        <w:rPr>
          <w:sz w:val="22"/>
          <w:szCs w:val="22"/>
        </w:rPr>
        <w:t xml:space="preserve">edian rents for </w:t>
      </w:r>
      <w:r>
        <w:rPr>
          <w:sz w:val="22"/>
          <w:szCs w:val="22"/>
        </w:rPr>
        <w:t>one bedroom homes ranged between $2</w:t>
      </w:r>
      <w:r w:rsidR="00374CE3">
        <w:rPr>
          <w:sz w:val="22"/>
          <w:szCs w:val="22"/>
        </w:rPr>
        <w:t>93</w:t>
      </w:r>
      <w:r>
        <w:rPr>
          <w:sz w:val="22"/>
          <w:szCs w:val="22"/>
        </w:rPr>
        <w:t xml:space="preserve"> (</w:t>
      </w:r>
      <w:r w:rsidR="00374CE3">
        <w:rPr>
          <w:sz w:val="22"/>
          <w:szCs w:val="22"/>
        </w:rPr>
        <w:t>Shoalhaven</w:t>
      </w:r>
      <w:r>
        <w:rPr>
          <w:sz w:val="22"/>
          <w:szCs w:val="22"/>
        </w:rPr>
        <w:t>) and $</w:t>
      </w:r>
      <w:r w:rsidR="00374CE3">
        <w:rPr>
          <w:sz w:val="22"/>
          <w:szCs w:val="22"/>
        </w:rPr>
        <w:t>40</w:t>
      </w:r>
      <w:r>
        <w:rPr>
          <w:sz w:val="22"/>
          <w:szCs w:val="22"/>
        </w:rPr>
        <w:t>0 per week (</w:t>
      </w:r>
      <w:r w:rsidR="00374CE3">
        <w:rPr>
          <w:sz w:val="22"/>
          <w:szCs w:val="22"/>
        </w:rPr>
        <w:t>Kiama</w:t>
      </w:r>
      <w:r>
        <w:rPr>
          <w:sz w:val="22"/>
          <w:szCs w:val="22"/>
        </w:rPr>
        <w:t>); for two bedroom homes between $</w:t>
      </w:r>
      <w:r w:rsidR="00374CE3">
        <w:rPr>
          <w:sz w:val="22"/>
          <w:szCs w:val="22"/>
        </w:rPr>
        <w:t>410</w:t>
      </w:r>
      <w:r>
        <w:rPr>
          <w:sz w:val="22"/>
          <w:szCs w:val="22"/>
        </w:rPr>
        <w:t xml:space="preserve"> </w:t>
      </w:r>
      <w:r>
        <w:rPr>
          <w:sz w:val="22"/>
          <w:szCs w:val="22"/>
        </w:rPr>
        <w:lastRenderedPageBreak/>
        <w:t>(</w:t>
      </w:r>
      <w:r w:rsidR="00374CE3">
        <w:rPr>
          <w:sz w:val="22"/>
          <w:szCs w:val="22"/>
        </w:rPr>
        <w:t>Shoalhaven</w:t>
      </w:r>
      <w:r>
        <w:rPr>
          <w:sz w:val="22"/>
          <w:szCs w:val="22"/>
        </w:rPr>
        <w:t>) and $5</w:t>
      </w:r>
      <w:r w:rsidR="00374CE3">
        <w:rPr>
          <w:sz w:val="22"/>
          <w:szCs w:val="22"/>
        </w:rPr>
        <w:t>3</w:t>
      </w:r>
      <w:r>
        <w:rPr>
          <w:sz w:val="22"/>
          <w:szCs w:val="22"/>
        </w:rPr>
        <w:t>0 per week (</w:t>
      </w:r>
      <w:r w:rsidR="00374CE3">
        <w:rPr>
          <w:sz w:val="22"/>
          <w:szCs w:val="22"/>
        </w:rPr>
        <w:t>Kiama</w:t>
      </w:r>
      <w:r>
        <w:rPr>
          <w:sz w:val="22"/>
          <w:szCs w:val="22"/>
        </w:rPr>
        <w:t>); for three bedroom homes between $</w:t>
      </w:r>
      <w:r w:rsidR="00374CE3">
        <w:rPr>
          <w:sz w:val="22"/>
          <w:szCs w:val="22"/>
        </w:rPr>
        <w:t>4</w:t>
      </w:r>
      <w:r>
        <w:rPr>
          <w:sz w:val="22"/>
          <w:szCs w:val="22"/>
        </w:rPr>
        <w:t>80 (</w:t>
      </w:r>
      <w:r w:rsidR="00374CE3">
        <w:rPr>
          <w:sz w:val="22"/>
          <w:szCs w:val="22"/>
        </w:rPr>
        <w:t>Shoalhaven</w:t>
      </w:r>
      <w:r>
        <w:rPr>
          <w:sz w:val="22"/>
          <w:szCs w:val="22"/>
        </w:rPr>
        <w:t>) and $</w:t>
      </w:r>
      <w:r w:rsidR="00374CE3">
        <w:rPr>
          <w:sz w:val="22"/>
          <w:szCs w:val="22"/>
        </w:rPr>
        <w:t>65</w:t>
      </w:r>
      <w:r>
        <w:rPr>
          <w:sz w:val="22"/>
          <w:szCs w:val="22"/>
        </w:rPr>
        <w:t>0 per week (</w:t>
      </w:r>
      <w:r w:rsidR="00374CE3">
        <w:rPr>
          <w:sz w:val="22"/>
          <w:szCs w:val="22"/>
        </w:rPr>
        <w:t>Kiama</w:t>
      </w:r>
      <w:r>
        <w:rPr>
          <w:sz w:val="22"/>
          <w:szCs w:val="22"/>
        </w:rPr>
        <w:t>); and for four or more bedroom homes from $6</w:t>
      </w:r>
      <w:r w:rsidR="00374CE3">
        <w:rPr>
          <w:sz w:val="22"/>
          <w:szCs w:val="22"/>
        </w:rPr>
        <w:t>0</w:t>
      </w:r>
      <w:r>
        <w:rPr>
          <w:sz w:val="22"/>
          <w:szCs w:val="22"/>
        </w:rPr>
        <w:t>0 (</w:t>
      </w:r>
      <w:r w:rsidR="00374CE3">
        <w:rPr>
          <w:sz w:val="22"/>
          <w:szCs w:val="22"/>
        </w:rPr>
        <w:t>Shoalhaven</w:t>
      </w:r>
      <w:r>
        <w:rPr>
          <w:sz w:val="22"/>
          <w:szCs w:val="22"/>
        </w:rPr>
        <w:t>) and $9</w:t>
      </w:r>
      <w:r w:rsidR="00374CE3">
        <w:rPr>
          <w:sz w:val="22"/>
          <w:szCs w:val="22"/>
        </w:rPr>
        <w:t>0</w:t>
      </w:r>
      <w:r>
        <w:rPr>
          <w:sz w:val="22"/>
          <w:szCs w:val="22"/>
        </w:rPr>
        <w:t>0 per week (</w:t>
      </w:r>
      <w:r w:rsidR="00374CE3">
        <w:rPr>
          <w:sz w:val="22"/>
          <w:szCs w:val="22"/>
        </w:rPr>
        <w:t>Kiama</w:t>
      </w:r>
      <w:r>
        <w:rPr>
          <w:sz w:val="22"/>
          <w:szCs w:val="22"/>
        </w:rPr>
        <w:t>).</w:t>
      </w:r>
    </w:p>
    <w:p w14:paraId="6BEBD1BF" w14:textId="77777777" w:rsidR="00202F1C" w:rsidRDefault="00202F1C" w:rsidP="00E9012F">
      <w:pPr>
        <w:spacing w:before="0" w:after="0"/>
        <w:jc w:val="both"/>
        <w:rPr>
          <w:sz w:val="22"/>
          <w:szCs w:val="22"/>
        </w:rPr>
      </w:pPr>
    </w:p>
    <w:p w14:paraId="50DA79B5" w14:textId="77777777" w:rsidR="00E9012F" w:rsidRDefault="00E1656E" w:rsidP="00E9012F">
      <w:pPr>
        <w:spacing w:before="0" w:after="0"/>
        <w:jc w:val="both"/>
        <w:rPr>
          <w:sz w:val="22"/>
          <w:szCs w:val="22"/>
        </w:rPr>
      </w:pPr>
      <w:r w:rsidRPr="00E9012F">
        <w:rPr>
          <w:sz w:val="22"/>
          <w:szCs w:val="22"/>
        </w:rPr>
        <w:t xml:space="preserve"> </w:t>
      </w:r>
    </w:p>
    <w:p w14:paraId="687BEF31" w14:textId="77777777" w:rsidR="0000027D" w:rsidRDefault="0000027D" w:rsidP="00E9012F">
      <w:pPr>
        <w:spacing w:before="0" w:after="0"/>
        <w:jc w:val="both"/>
        <w:rPr>
          <w:sz w:val="22"/>
          <w:szCs w:val="22"/>
        </w:rPr>
      </w:pPr>
      <w:r w:rsidRPr="0000027D">
        <w:rPr>
          <w:noProof/>
        </w:rPr>
        <w:drawing>
          <wp:inline distT="0" distB="0" distL="0" distR="0" wp14:anchorId="54B2204F" wp14:editId="508E5422">
            <wp:extent cx="6105525" cy="88687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8596" cy="913470"/>
                    </a:xfrm>
                    <a:prstGeom prst="rect">
                      <a:avLst/>
                    </a:prstGeom>
                    <a:noFill/>
                    <a:ln>
                      <a:noFill/>
                    </a:ln>
                  </pic:spPr>
                </pic:pic>
              </a:graphicData>
            </a:graphic>
          </wp:inline>
        </w:drawing>
      </w:r>
    </w:p>
    <w:p w14:paraId="75940DDA" w14:textId="77777777" w:rsidR="0000027D" w:rsidRDefault="0000027D" w:rsidP="00E9012F">
      <w:pPr>
        <w:spacing w:before="0" w:after="0"/>
        <w:jc w:val="both"/>
        <w:rPr>
          <w:sz w:val="22"/>
          <w:szCs w:val="22"/>
        </w:rPr>
      </w:pPr>
    </w:p>
    <w:p w14:paraId="4BE46958" w14:textId="77777777" w:rsidR="0000027D" w:rsidRDefault="00231827" w:rsidP="001A69A0">
      <w:pPr>
        <w:pStyle w:val="ListParagraph"/>
        <w:numPr>
          <w:ilvl w:val="0"/>
          <w:numId w:val="14"/>
        </w:numPr>
        <w:spacing w:before="0" w:after="0"/>
        <w:jc w:val="both"/>
        <w:rPr>
          <w:sz w:val="22"/>
          <w:szCs w:val="22"/>
        </w:rPr>
      </w:pPr>
      <w:r>
        <w:rPr>
          <w:sz w:val="22"/>
          <w:szCs w:val="22"/>
        </w:rPr>
        <w:t>Such strong recent increases in median rents will have a significant impact on lower income tenants in particular.</w:t>
      </w:r>
    </w:p>
    <w:p w14:paraId="14AA2645" w14:textId="77777777" w:rsidR="00231827" w:rsidRDefault="00231827" w:rsidP="00231827">
      <w:pPr>
        <w:spacing w:before="0" w:after="0"/>
        <w:jc w:val="both"/>
        <w:rPr>
          <w:sz w:val="22"/>
          <w:szCs w:val="22"/>
        </w:rPr>
      </w:pPr>
    </w:p>
    <w:p w14:paraId="5E8ADB9D" w14:textId="77777777" w:rsidR="00231827" w:rsidRDefault="00231827" w:rsidP="00231827">
      <w:pPr>
        <w:spacing w:before="0" w:after="0"/>
        <w:jc w:val="both"/>
        <w:rPr>
          <w:sz w:val="22"/>
          <w:szCs w:val="22"/>
        </w:rPr>
      </w:pPr>
    </w:p>
    <w:p w14:paraId="1017F8DE" w14:textId="77777777" w:rsidR="00231827" w:rsidRPr="00231827" w:rsidRDefault="00231827" w:rsidP="00231827">
      <w:pPr>
        <w:spacing w:before="0" w:after="0"/>
        <w:jc w:val="both"/>
        <w:rPr>
          <w:sz w:val="22"/>
          <w:szCs w:val="22"/>
        </w:rPr>
      </w:pPr>
    </w:p>
    <w:p w14:paraId="02B32688" w14:textId="77777777" w:rsidR="00E1656E" w:rsidRPr="001C58F3" w:rsidRDefault="00E1656E" w:rsidP="00E1656E">
      <w:pPr>
        <w:jc w:val="both"/>
        <w:rPr>
          <w:b/>
          <w:color w:val="008000"/>
          <w:sz w:val="32"/>
        </w:rPr>
      </w:pPr>
      <w:r>
        <w:rPr>
          <w:b/>
          <w:color w:val="008000"/>
          <w:sz w:val="32"/>
        </w:rPr>
        <w:t>Vacancy Rate</w:t>
      </w:r>
    </w:p>
    <w:p w14:paraId="2DD9E6A1" w14:textId="77777777" w:rsidR="008B3602" w:rsidRDefault="008B3602" w:rsidP="001A69A0">
      <w:pPr>
        <w:numPr>
          <w:ilvl w:val="0"/>
          <w:numId w:val="2"/>
        </w:numPr>
        <w:spacing w:before="0" w:after="0"/>
        <w:jc w:val="both"/>
        <w:rPr>
          <w:sz w:val="22"/>
          <w:szCs w:val="22"/>
        </w:rPr>
      </w:pPr>
      <w:r w:rsidRPr="00E1656E">
        <w:rPr>
          <w:sz w:val="22"/>
          <w:szCs w:val="22"/>
        </w:rPr>
        <w:t>A vacancy rate of 3% is understood to represent a balance between supply and demand. According to REINSW data, vaca</w:t>
      </w:r>
      <w:r>
        <w:rPr>
          <w:sz w:val="22"/>
          <w:szCs w:val="22"/>
        </w:rPr>
        <w:t xml:space="preserve">ncy rates were below 3% for </w:t>
      </w:r>
      <w:r w:rsidR="00A81B62">
        <w:rPr>
          <w:sz w:val="22"/>
          <w:szCs w:val="22"/>
        </w:rPr>
        <w:t xml:space="preserve">Wollongong and the Illawarra, </w:t>
      </w:r>
      <w:r>
        <w:rPr>
          <w:sz w:val="22"/>
          <w:szCs w:val="22"/>
        </w:rPr>
        <w:t>for most of the period</w:t>
      </w:r>
      <w:r w:rsidRPr="00E1656E">
        <w:rPr>
          <w:sz w:val="22"/>
          <w:szCs w:val="22"/>
        </w:rPr>
        <w:t xml:space="preserve"> from 200</w:t>
      </w:r>
      <w:r>
        <w:rPr>
          <w:sz w:val="22"/>
          <w:szCs w:val="22"/>
        </w:rPr>
        <w:t>6</w:t>
      </w:r>
      <w:r w:rsidRPr="00E1656E">
        <w:rPr>
          <w:sz w:val="22"/>
          <w:szCs w:val="22"/>
        </w:rPr>
        <w:t xml:space="preserve"> through to 20</w:t>
      </w:r>
      <w:r>
        <w:rPr>
          <w:sz w:val="22"/>
          <w:szCs w:val="22"/>
        </w:rPr>
        <w:t>22</w:t>
      </w:r>
      <w:r w:rsidRPr="00E1656E">
        <w:rPr>
          <w:sz w:val="22"/>
          <w:szCs w:val="22"/>
        </w:rPr>
        <w:t>.</w:t>
      </w:r>
      <w:r>
        <w:rPr>
          <w:sz w:val="22"/>
          <w:szCs w:val="22"/>
        </w:rPr>
        <w:t xml:space="preserve">  </w:t>
      </w:r>
      <w:r w:rsidRPr="00E1656E">
        <w:rPr>
          <w:sz w:val="22"/>
          <w:szCs w:val="22"/>
        </w:rPr>
        <w:t xml:space="preserve"> </w:t>
      </w:r>
      <w:r w:rsidR="00A40FFB">
        <w:rPr>
          <w:sz w:val="22"/>
          <w:szCs w:val="22"/>
        </w:rPr>
        <w:t>Vacancy rates on the South Coast (which includes Shoalhaven) have been more volatile.</w:t>
      </w:r>
      <w:r w:rsidR="0080271A">
        <w:rPr>
          <w:sz w:val="22"/>
          <w:szCs w:val="22"/>
        </w:rPr>
        <w:t xml:space="preserve">  Vacancy rates below 2% indicate a chronic shortage of rental housing.</w:t>
      </w:r>
    </w:p>
    <w:p w14:paraId="1B718350" w14:textId="77777777" w:rsidR="008B3602" w:rsidRDefault="008B3602" w:rsidP="001A69A0">
      <w:pPr>
        <w:numPr>
          <w:ilvl w:val="0"/>
          <w:numId w:val="2"/>
        </w:numPr>
        <w:spacing w:before="0" w:after="0"/>
        <w:jc w:val="both"/>
        <w:rPr>
          <w:sz w:val="22"/>
          <w:szCs w:val="22"/>
        </w:rPr>
      </w:pPr>
      <w:r w:rsidRPr="00E1656E">
        <w:rPr>
          <w:sz w:val="22"/>
          <w:szCs w:val="22"/>
        </w:rPr>
        <w:t xml:space="preserve">At </w:t>
      </w:r>
      <w:r w:rsidR="00624A8B">
        <w:rPr>
          <w:sz w:val="22"/>
          <w:szCs w:val="22"/>
        </w:rPr>
        <w:t>April</w:t>
      </w:r>
      <w:r>
        <w:rPr>
          <w:sz w:val="22"/>
          <w:szCs w:val="22"/>
        </w:rPr>
        <w:t xml:space="preserve"> </w:t>
      </w:r>
      <w:r w:rsidRPr="00E1656E">
        <w:rPr>
          <w:sz w:val="22"/>
          <w:szCs w:val="22"/>
        </w:rPr>
        <w:t>20</w:t>
      </w:r>
      <w:r w:rsidR="00A40FFB">
        <w:rPr>
          <w:sz w:val="22"/>
          <w:szCs w:val="22"/>
        </w:rPr>
        <w:t>23</w:t>
      </w:r>
      <w:r w:rsidRPr="00E1656E">
        <w:rPr>
          <w:sz w:val="22"/>
          <w:szCs w:val="22"/>
        </w:rPr>
        <w:t xml:space="preserve"> the vacancy rate in </w:t>
      </w:r>
      <w:r w:rsidR="00A81B62">
        <w:rPr>
          <w:sz w:val="22"/>
          <w:szCs w:val="22"/>
        </w:rPr>
        <w:t xml:space="preserve">Wollongong </w:t>
      </w:r>
      <w:r>
        <w:rPr>
          <w:sz w:val="22"/>
          <w:szCs w:val="22"/>
        </w:rPr>
        <w:t xml:space="preserve">was </w:t>
      </w:r>
      <w:r w:rsidR="00A40FFB">
        <w:rPr>
          <w:sz w:val="22"/>
          <w:szCs w:val="22"/>
        </w:rPr>
        <w:t>1.</w:t>
      </w:r>
      <w:r w:rsidR="00624A8B">
        <w:rPr>
          <w:sz w:val="22"/>
          <w:szCs w:val="22"/>
        </w:rPr>
        <w:t>3</w:t>
      </w:r>
      <w:r>
        <w:rPr>
          <w:sz w:val="22"/>
          <w:szCs w:val="22"/>
        </w:rPr>
        <w:t>%</w:t>
      </w:r>
      <w:r w:rsidR="00A81B62">
        <w:rPr>
          <w:sz w:val="22"/>
          <w:szCs w:val="22"/>
        </w:rPr>
        <w:t>,</w:t>
      </w:r>
      <w:r>
        <w:rPr>
          <w:sz w:val="22"/>
          <w:szCs w:val="22"/>
        </w:rPr>
        <w:t xml:space="preserve"> in the rest of the </w:t>
      </w:r>
      <w:r w:rsidR="00A81B62">
        <w:rPr>
          <w:sz w:val="22"/>
          <w:szCs w:val="22"/>
        </w:rPr>
        <w:t>Illawarra</w:t>
      </w:r>
      <w:r>
        <w:rPr>
          <w:sz w:val="22"/>
          <w:szCs w:val="22"/>
        </w:rPr>
        <w:t xml:space="preserve"> was </w:t>
      </w:r>
      <w:r w:rsidR="00A81B62">
        <w:rPr>
          <w:sz w:val="22"/>
          <w:szCs w:val="22"/>
        </w:rPr>
        <w:t>1.</w:t>
      </w:r>
      <w:r w:rsidR="00A40FFB">
        <w:rPr>
          <w:sz w:val="22"/>
          <w:szCs w:val="22"/>
        </w:rPr>
        <w:t>7</w:t>
      </w:r>
      <w:r>
        <w:rPr>
          <w:sz w:val="22"/>
          <w:szCs w:val="22"/>
        </w:rPr>
        <w:t>%</w:t>
      </w:r>
      <w:r w:rsidR="00A81B62">
        <w:rPr>
          <w:sz w:val="22"/>
          <w:szCs w:val="22"/>
        </w:rPr>
        <w:t xml:space="preserve"> and for the South Coast was </w:t>
      </w:r>
      <w:r w:rsidR="00624A8B">
        <w:rPr>
          <w:sz w:val="22"/>
          <w:szCs w:val="22"/>
        </w:rPr>
        <w:t>2.1</w:t>
      </w:r>
      <w:r w:rsidR="00A81B62">
        <w:rPr>
          <w:sz w:val="22"/>
          <w:szCs w:val="22"/>
        </w:rPr>
        <w:t>%</w:t>
      </w:r>
      <w:r>
        <w:rPr>
          <w:sz w:val="22"/>
          <w:szCs w:val="22"/>
        </w:rPr>
        <w:t xml:space="preserve">.  </w:t>
      </w:r>
      <w:r w:rsidR="0080271A">
        <w:rPr>
          <w:sz w:val="22"/>
          <w:szCs w:val="22"/>
        </w:rPr>
        <w:t xml:space="preserve">This compares </w:t>
      </w:r>
      <w:r w:rsidR="00624A8B">
        <w:rPr>
          <w:sz w:val="22"/>
          <w:szCs w:val="22"/>
        </w:rPr>
        <w:t xml:space="preserve">to </w:t>
      </w:r>
      <w:r w:rsidR="0080271A">
        <w:rPr>
          <w:sz w:val="22"/>
          <w:szCs w:val="22"/>
        </w:rPr>
        <w:t>1.</w:t>
      </w:r>
      <w:r w:rsidR="00624A8B">
        <w:rPr>
          <w:sz w:val="22"/>
          <w:szCs w:val="22"/>
        </w:rPr>
        <w:t>7</w:t>
      </w:r>
      <w:r>
        <w:rPr>
          <w:sz w:val="22"/>
          <w:szCs w:val="22"/>
        </w:rPr>
        <w:t>% in the Central Coast, 1.</w:t>
      </w:r>
      <w:r w:rsidR="00624A8B">
        <w:rPr>
          <w:sz w:val="22"/>
          <w:szCs w:val="22"/>
        </w:rPr>
        <w:t>3</w:t>
      </w:r>
      <w:r>
        <w:rPr>
          <w:sz w:val="22"/>
          <w:szCs w:val="22"/>
        </w:rPr>
        <w:t>% in Sydney</w:t>
      </w:r>
      <w:r w:rsidR="0080271A">
        <w:rPr>
          <w:sz w:val="22"/>
          <w:szCs w:val="22"/>
        </w:rPr>
        <w:t>,</w:t>
      </w:r>
      <w:r>
        <w:rPr>
          <w:sz w:val="22"/>
          <w:szCs w:val="22"/>
        </w:rPr>
        <w:t xml:space="preserve"> </w:t>
      </w:r>
      <w:r w:rsidR="00624A8B">
        <w:rPr>
          <w:sz w:val="22"/>
          <w:szCs w:val="22"/>
        </w:rPr>
        <w:t>1.8% in Newcastle and 2.0</w:t>
      </w:r>
      <w:r>
        <w:rPr>
          <w:sz w:val="22"/>
          <w:szCs w:val="22"/>
        </w:rPr>
        <w:t xml:space="preserve">% in </w:t>
      </w:r>
      <w:r w:rsidR="0080271A">
        <w:rPr>
          <w:sz w:val="22"/>
          <w:szCs w:val="22"/>
        </w:rPr>
        <w:t>the rest of the Hunter</w:t>
      </w:r>
      <w:r w:rsidRPr="00E1656E">
        <w:rPr>
          <w:sz w:val="22"/>
          <w:szCs w:val="22"/>
        </w:rPr>
        <w:t>.</w:t>
      </w:r>
      <w:r>
        <w:rPr>
          <w:sz w:val="22"/>
          <w:szCs w:val="22"/>
        </w:rPr>
        <w:t xml:space="preserve">  </w:t>
      </w:r>
    </w:p>
    <w:p w14:paraId="6CC74FDA" w14:textId="77777777" w:rsidR="008B3602" w:rsidRPr="00E1656E" w:rsidRDefault="0080271A" w:rsidP="001A69A0">
      <w:pPr>
        <w:numPr>
          <w:ilvl w:val="0"/>
          <w:numId w:val="2"/>
        </w:numPr>
        <w:spacing w:before="0" w:after="0"/>
        <w:jc w:val="both"/>
        <w:rPr>
          <w:sz w:val="22"/>
          <w:szCs w:val="22"/>
        </w:rPr>
      </w:pPr>
      <w:r>
        <w:rPr>
          <w:sz w:val="22"/>
          <w:szCs w:val="22"/>
        </w:rPr>
        <w:t>Anecdotally there are stories of tenants struggling to find rental accommodation, with strong competition for places, rent bidding</w:t>
      </w:r>
      <w:r w:rsidR="00E432F0">
        <w:rPr>
          <w:sz w:val="22"/>
          <w:szCs w:val="22"/>
        </w:rPr>
        <w:t>,</w:t>
      </w:r>
      <w:r>
        <w:rPr>
          <w:sz w:val="22"/>
          <w:szCs w:val="22"/>
        </w:rPr>
        <w:t xml:space="preserve"> significant increases in rents and tenants facing eviction and potential homelessness </w:t>
      </w:r>
      <w:r w:rsidR="008B3602">
        <w:rPr>
          <w:sz w:val="22"/>
          <w:szCs w:val="22"/>
        </w:rPr>
        <w:t>.</w:t>
      </w:r>
    </w:p>
    <w:p w14:paraId="354F5C73" w14:textId="77777777" w:rsidR="00E1656E" w:rsidRPr="00E1656E" w:rsidRDefault="00A81B62" w:rsidP="001A69A0">
      <w:pPr>
        <w:numPr>
          <w:ilvl w:val="0"/>
          <w:numId w:val="2"/>
        </w:numPr>
        <w:spacing w:before="0" w:after="0"/>
        <w:jc w:val="both"/>
        <w:rPr>
          <w:sz w:val="22"/>
          <w:szCs w:val="22"/>
        </w:rPr>
      </w:pPr>
      <w:r>
        <w:rPr>
          <w:sz w:val="22"/>
          <w:szCs w:val="22"/>
        </w:rPr>
        <w:t>The two graphs below show the vacancy rate from 2006 to 202</w:t>
      </w:r>
      <w:r w:rsidR="0080271A">
        <w:rPr>
          <w:sz w:val="22"/>
          <w:szCs w:val="22"/>
        </w:rPr>
        <w:t>3</w:t>
      </w:r>
      <w:r>
        <w:rPr>
          <w:sz w:val="22"/>
          <w:szCs w:val="22"/>
        </w:rPr>
        <w:t xml:space="preserve"> in the Wollongong and Illawarra and also the South Coast of NSW, using REINSW data</w:t>
      </w:r>
      <w:r w:rsidR="00E1656E" w:rsidRPr="00E1656E">
        <w:rPr>
          <w:sz w:val="22"/>
          <w:szCs w:val="22"/>
        </w:rPr>
        <w:t>.</w:t>
      </w:r>
    </w:p>
    <w:p w14:paraId="409A842A" w14:textId="77777777" w:rsidR="00E1656E" w:rsidRDefault="00E1656E" w:rsidP="00E1656E">
      <w:pPr>
        <w:spacing w:after="0"/>
        <w:ind w:left="360"/>
        <w:jc w:val="both"/>
        <w:rPr>
          <w:sz w:val="20"/>
          <w:szCs w:val="20"/>
        </w:rPr>
      </w:pPr>
    </w:p>
    <w:p w14:paraId="02CD17AD" w14:textId="77777777" w:rsidR="00E1656E" w:rsidRDefault="004E385D" w:rsidP="00014F49">
      <w:pPr>
        <w:spacing w:before="0" w:after="0"/>
        <w:jc w:val="both"/>
        <w:rPr>
          <w:sz w:val="20"/>
          <w:szCs w:val="20"/>
        </w:rPr>
      </w:pPr>
      <w:r>
        <w:rPr>
          <w:noProof/>
        </w:rPr>
        <w:lastRenderedPageBreak/>
        <w:drawing>
          <wp:inline distT="0" distB="0" distL="0" distR="0" wp14:anchorId="7F3E8998" wp14:editId="1D3185FB">
            <wp:extent cx="5495925" cy="2819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120837" w14:textId="77777777" w:rsidR="004E385D" w:rsidRDefault="004E385D" w:rsidP="00014F49">
      <w:pPr>
        <w:spacing w:before="0" w:after="0"/>
        <w:jc w:val="both"/>
        <w:rPr>
          <w:sz w:val="20"/>
          <w:szCs w:val="20"/>
        </w:rPr>
      </w:pPr>
    </w:p>
    <w:p w14:paraId="7BD1DA94" w14:textId="77777777" w:rsidR="004E385D" w:rsidRDefault="004E385D" w:rsidP="00014F49">
      <w:pPr>
        <w:spacing w:before="0" w:after="0"/>
        <w:jc w:val="both"/>
        <w:rPr>
          <w:sz w:val="20"/>
          <w:szCs w:val="20"/>
        </w:rPr>
      </w:pPr>
    </w:p>
    <w:p w14:paraId="3CBB643D" w14:textId="77777777" w:rsidR="004E385D" w:rsidRDefault="004E385D" w:rsidP="00014F49">
      <w:pPr>
        <w:spacing w:before="0" w:after="0"/>
        <w:jc w:val="both"/>
        <w:rPr>
          <w:sz w:val="20"/>
          <w:szCs w:val="20"/>
        </w:rPr>
      </w:pPr>
    </w:p>
    <w:p w14:paraId="7C015764" w14:textId="77777777" w:rsidR="004E385D" w:rsidRPr="009B04CC" w:rsidRDefault="00A84EC8" w:rsidP="00014F49">
      <w:pPr>
        <w:spacing w:before="0" w:after="0"/>
        <w:jc w:val="both"/>
        <w:rPr>
          <w:sz w:val="20"/>
          <w:szCs w:val="20"/>
        </w:rPr>
      </w:pPr>
      <w:r>
        <w:rPr>
          <w:noProof/>
        </w:rPr>
        <w:drawing>
          <wp:inline distT="0" distB="0" distL="0" distR="0" wp14:anchorId="0FEDA81B" wp14:editId="2B56D6F2">
            <wp:extent cx="5534025" cy="26003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82925C" w14:textId="77777777" w:rsidR="00E1656E" w:rsidRDefault="00E1656E" w:rsidP="00E1656E">
      <w:pPr>
        <w:jc w:val="both"/>
        <w:rPr>
          <w:b/>
          <w:color w:val="008000"/>
          <w:sz w:val="32"/>
          <w:highlight w:val="yellow"/>
        </w:rPr>
      </w:pPr>
    </w:p>
    <w:p w14:paraId="5E35B726" w14:textId="77777777" w:rsidR="008B3602" w:rsidRPr="00624A8B" w:rsidRDefault="008B3602" w:rsidP="00E1656E">
      <w:pPr>
        <w:jc w:val="both"/>
        <w:rPr>
          <w:color w:val="008000"/>
          <w:sz w:val="32"/>
          <w:highlight w:val="yellow"/>
        </w:rPr>
      </w:pPr>
    </w:p>
    <w:p w14:paraId="4DC023F1" w14:textId="77777777" w:rsidR="008B3602" w:rsidRDefault="008B3602" w:rsidP="00E1656E">
      <w:pPr>
        <w:jc w:val="both"/>
        <w:rPr>
          <w:b/>
          <w:color w:val="008000"/>
          <w:sz w:val="32"/>
          <w:highlight w:val="yellow"/>
        </w:rPr>
      </w:pPr>
    </w:p>
    <w:p w14:paraId="5F2FA70C" w14:textId="77777777" w:rsidR="00E1656E" w:rsidRPr="00CD167A" w:rsidRDefault="00E1656E" w:rsidP="00E1656E">
      <w:pPr>
        <w:jc w:val="both"/>
        <w:rPr>
          <w:b/>
          <w:color w:val="008000"/>
          <w:sz w:val="32"/>
        </w:rPr>
      </w:pPr>
      <w:r w:rsidRPr="00CD167A">
        <w:rPr>
          <w:b/>
          <w:color w:val="008000"/>
          <w:sz w:val="32"/>
        </w:rPr>
        <w:t>Affordable Rental</w:t>
      </w:r>
    </w:p>
    <w:p w14:paraId="422850AD" w14:textId="77777777" w:rsidR="005B4138" w:rsidRDefault="005B4138" w:rsidP="001A69A0">
      <w:pPr>
        <w:numPr>
          <w:ilvl w:val="0"/>
          <w:numId w:val="3"/>
        </w:numPr>
        <w:spacing w:before="0" w:after="0"/>
        <w:jc w:val="both"/>
        <w:rPr>
          <w:sz w:val="22"/>
          <w:szCs w:val="22"/>
        </w:rPr>
      </w:pPr>
      <w:r w:rsidRPr="00CA1203">
        <w:rPr>
          <w:sz w:val="22"/>
          <w:szCs w:val="22"/>
        </w:rPr>
        <w:t>The general trend across Sydney and NSW has been for a decline in the proportion of rental stock which is affordable for very low</w:t>
      </w:r>
      <w:r w:rsidRPr="00EC3534">
        <w:rPr>
          <w:sz w:val="22"/>
          <w:szCs w:val="22"/>
        </w:rPr>
        <w:t xml:space="preserve">, low and moderate income earners.   </w:t>
      </w:r>
    </w:p>
    <w:p w14:paraId="1FABC41B" w14:textId="77777777" w:rsidR="005B4138" w:rsidRDefault="005B4138" w:rsidP="001A69A0">
      <w:pPr>
        <w:numPr>
          <w:ilvl w:val="0"/>
          <w:numId w:val="3"/>
        </w:numPr>
        <w:spacing w:before="0" w:after="0"/>
        <w:jc w:val="both"/>
        <w:rPr>
          <w:sz w:val="22"/>
          <w:szCs w:val="22"/>
        </w:rPr>
      </w:pPr>
      <w:r>
        <w:rPr>
          <w:sz w:val="22"/>
          <w:szCs w:val="22"/>
        </w:rPr>
        <w:t>This trend to decline in affordable rental is also evident in the Illawarra Shoalhaven region</w:t>
      </w:r>
      <w:r w:rsidR="005F40D8">
        <w:rPr>
          <w:sz w:val="22"/>
          <w:szCs w:val="22"/>
        </w:rPr>
        <w:t>.</w:t>
      </w:r>
      <w:r>
        <w:rPr>
          <w:sz w:val="22"/>
          <w:szCs w:val="22"/>
        </w:rPr>
        <w:t xml:space="preserve"> </w:t>
      </w:r>
      <w:r w:rsidR="005F40D8">
        <w:rPr>
          <w:sz w:val="22"/>
          <w:szCs w:val="22"/>
        </w:rPr>
        <w:t>A</w:t>
      </w:r>
      <w:r>
        <w:rPr>
          <w:sz w:val="22"/>
          <w:szCs w:val="22"/>
        </w:rPr>
        <w:t>lthough along with elsewhere in NSW, there were more complex factors at play between 2019 and 2022.</w:t>
      </w:r>
    </w:p>
    <w:p w14:paraId="1B8F0FAF" w14:textId="77777777" w:rsidR="005B4138" w:rsidRDefault="005B4138" w:rsidP="001A69A0">
      <w:pPr>
        <w:numPr>
          <w:ilvl w:val="0"/>
          <w:numId w:val="3"/>
        </w:numPr>
        <w:spacing w:before="0" w:after="0"/>
        <w:jc w:val="both"/>
        <w:rPr>
          <w:sz w:val="22"/>
          <w:szCs w:val="22"/>
        </w:rPr>
      </w:pPr>
      <w:r>
        <w:rPr>
          <w:sz w:val="22"/>
          <w:szCs w:val="22"/>
        </w:rPr>
        <w:lastRenderedPageBreak/>
        <w:t>Across the Rest of NSW, the proportion of affordable rental for very low income households stayed at the 2018 level of 22.0% for 2019, improved slightly to 21.7% in 2020 and again to 21.9% in 2021 then declined in line with the longer term trend to 17.0% in 2022.</w:t>
      </w:r>
    </w:p>
    <w:p w14:paraId="5A59782D" w14:textId="77777777" w:rsidR="005B4138" w:rsidRDefault="005B4138" w:rsidP="001A69A0">
      <w:pPr>
        <w:numPr>
          <w:ilvl w:val="0"/>
          <w:numId w:val="3"/>
        </w:numPr>
        <w:spacing w:before="0" w:after="0"/>
        <w:jc w:val="both"/>
        <w:rPr>
          <w:sz w:val="22"/>
          <w:szCs w:val="22"/>
        </w:rPr>
      </w:pPr>
      <w:r>
        <w:rPr>
          <w:sz w:val="22"/>
          <w:szCs w:val="22"/>
        </w:rPr>
        <w:t>In the</w:t>
      </w:r>
      <w:r w:rsidR="005F40D8">
        <w:rPr>
          <w:sz w:val="22"/>
          <w:szCs w:val="22"/>
        </w:rPr>
        <w:t xml:space="preserve"> Illawarra Shoalhaven</w:t>
      </w:r>
      <w:r>
        <w:rPr>
          <w:sz w:val="22"/>
          <w:szCs w:val="22"/>
        </w:rPr>
        <w:t xml:space="preserve">, this pattern was more varied.  Between 2018 and 2019 rental affordability for very low income households improved </w:t>
      </w:r>
      <w:r w:rsidR="000A592C">
        <w:rPr>
          <w:sz w:val="22"/>
          <w:szCs w:val="22"/>
        </w:rPr>
        <w:t xml:space="preserve">in </w:t>
      </w:r>
      <w:r w:rsidR="005F40D8">
        <w:rPr>
          <w:sz w:val="22"/>
          <w:szCs w:val="22"/>
        </w:rPr>
        <w:t>Kiama, Shoalhaven and Wollongong</w:t>
      </w:r>
      <w:r>
        <w:rPr>
          <w:sz w:val="22"/>
          <w:szCs w:val="22"/>
        </w:rPr>
        <w:t xml:space="preserve"> and declined in</w:t>
      </w:r>
      <w:r w:rsidR="005F40D8">
        <w:rPr>
          <w:sz w:val="22"/>
          <w:szCs w:val="22"/>
        </w:rPr>
        <w:t xml:space="preserve"> Shellharbour</w:t>
      </w:r>
      <w:r>
        <w:rPr>
          <w:sz w:val="22"/>
          <w:szCs w:val="22"/>
        </w:rPr>
        <w:t>.</w:t>
      </w:r>
    </w:p>
    <w:p w14:paraId="35643AC1" w14:textId="77777777" w:rsidR="005B4138" w:rsidRDefault="005B4138" w:rsidP="001A69A0">
      <w:pPr>
        <w:numPr>
          <w:ilvl w:val="0"/>
          <w:numId w:val="3"/>
        </w:numPr>
        <w:spacing w:before="0" w:after="0"/>
        <w:jc w:val="both"/>
        <w:rPr>
          <w:sz w:val="22"/>
          <w:szCs w:val="22"/>
        </w:rPr>
      </w:pPr>
      <w:r>
        <w:rPr>
          <w:sz w:val="22"/>
          <w:szCs w:val="22"/>
        </w:rPr>
        <w:t>Between 2019 and 2020 the proportion affordable for rental by very low income households declined in</w:t>
      </w:r>
      <w:r w:rsidR="005F40D8">
        <w:rPr>
          <w:sz w:val="22"/>
          <w:szCs w:val="22"/>
        </w:rPr>
        <w:t xml:space="preserve"> Kiama but increased in Shellharbour, Shoalhaven and Wollongong</w:t>
      </w:r>
      <w:r>
        <w:rPr>
          <w:sz w:val="22"/>
          <w:szCs w:val="22"/>
        </w:rPr>
        <w:t xml:space="preserve">. </w:t>
      </w:r>
    </w:p>
    <w:p w14:paraId="612EC0DF" w14:textId="77777777" w:rsidR="005B4138" w:rsidRDefault="005B4138" w:rsidP="001A69A0">
      <w:pPr>
        <w:numPr>
          <w:ilvl w:val="0"/>
          <w:numId w:val="3"/>
        </w:numPr>
        <w:spacing w:before="0" w:after="0"/>
        <w:jc w:val="both"/>
        <w:rPr>
          <w:sz w:val="22"/>
          <w:szCs w:val="22"/>
        </w:rPr>
      </w:pPr>
      <w:r>
        <w:rPr>
          <w:sz w:val="22"/>
          <w:szCs w:val="22"/>
        </w:rPr>
        <w:t xml:space="preserve">Between 2020 and 2021 rental affordability improved in </w:t>
      </w:r>
      <w:r w:rsidR="00382A45">
        <w:rPr>
          <w:sz w:val="22"/>
          <w:szCs w:val="22"/>
        </w:rPr>
        <w:t xml:space="preserve">Kiama, Shoalhaven and Wollongong </w:t>
      </w:r>
      <w:r>
        <w:rPr>
          <w:sz w:val="22"/>
          <w:szCs w:val="22"/>
        </w:rPr>
        <w:t>and declined</w:t>
      </w:r>
      <w:r w:rsidR="00382A45">
        <w:rPr>
          <w:sz w:val="22"/>
          <w:szCs w:val="22"/>
        </w:rPr>
        <w:t xml:space="preserve"> in Shellharbour</w:t>
      </w:r>
      <w:r>
        <w:rPr>
          <w:sz w:val="22"/>
          <w:szCs w:val="22"/>
        </w:rPr>
        <w:t>.</w:t>
      </w:r>
    </w:p>
    <w:p w14:paraId="59AA2525" w14:textId="77777777" w:rsidR="005B4138" w:rsidRPr="00C343DA" w:rsidRDefault="005B4138" w:rsidP="001A69A0">
      <w:pPr>
        <w:numPr>
          <w:ilvl w:val="0"/>
          <w:numId w:val="3"/>
        </w:numPr>
        <w:spacing w:before="0" w:after="0"/>
        <w:jc w:val="both"/>
        <w:rPr>
          <w:sz w:val="22"/>
          <w:szCs w:val="22"/>
        </w:rPr>
      </w:pPr>
      <w:r w:rsidRPr="00C343DA">
        <w:rPr>
          <w:sz w:val="22"/>
          <w:szCs w:val="22"/>
        </w:rPr>
        <w:t>Between 2021 and 2022 rental affordability for very low income households</w:t>
      </w:r>
      <w:r w:rsidR="00382A45">
        <w:rPr>
          <w:sz w:val="22"/>
          <w:szCs w:val="22"/>
        </w:rPr>
        <w:t xml:space="preserve"> improved in Kiama and Shellharbour and declined in Shoalhaven and Wollongong</w:t>
      </w:r>
      <w:r w:rsidRPr="00C343DA">
        <w:rPr>
          <w:sz w:val="22"/>
          <w:szCs w:val="22"/>
        </w:rPr>
        <w:t>.</w:t>
      </w:r>
    </w:p>
    <w:p w14:paraId="6F5FD920" w14:textId="77777777" w:rsidR="005B4138" w:rsidRDefault="005B4138" w:rsidP="001A69A0">
      <w:pPr>
        <w:numPr>
          <w:ilvl w:val="0"/>
          <w:numId w:val="3"/>
        </w:numPr>
        <w:spacing w:before="0" w:after="0"/>
        <w:jc w:val="both"/>
        <w:rPr>
          <w:sz w:val="22"/>
          <w:szCs w:val="22"/>
        </w:rPr>
      </w:pPr>
      <w:r>
        <w:rPr>
          <w:sz w:val="22"/>
          <w:szCs w:val="22"/>
        </w:rPr>
        <w:t xml:space="preserve">At June 2022, every </w:t>
      </w:r>
      <w:r w:rsidR="00382A45">
        <w:rPr>
          <w:sz w:val="22"/>
          <w:szCs w:val="22"/>
        </w:rPr>
        <w:t xml:space="preserve">Illawarra Shoalhaven </w:t>
      </w:r>
      <w:r>
        <w:rPr>
          <w:sz w:val="22"/>
          <w:szCs w:val="22"/>
        </w:rPr>
        <w:t xml:space="preserve">LGA had a </w:t>
      </w:r>
      <w:r w:rsidR="00382A45">
        <w:rPr>
          <w:sz w:val="22"/>
          <w:szCs w:val="22"/>
        </w:rPr>
        <w:t xml:space="preserve">much </w:t>
      </w:r>
      <w:r>
        <w:rPr>
          <w:sz w:val="22"/>
          <w:szCs w:val="22"/>
        </w:rPr>
        <w:t xml:space="preserve">lower proportion of affordable rental for very low income households than the Rest of NSW average of 17.0%.  </w:t>
      </w:r>
      <w:r w:rsidR="00382A45">
        <w:rPr>
          <w:sz w:val="22"/>
          <w:szCs w:val="22"/>
        </w:rPr>
        <w:t xml:space="preserve">Kiama </w:t>
      </w:r>
      <w:r>
        <w:rPr>
          <w:sz w:val="22"/>
          <w:szCs w:val="22"/>
        </w:rPr>
        <w:t xml:space="preserve">had the lowest proportion with </w:t>
      </w:r>
      <w:r w:rsidR="00382A45">
        <w:rPr>
          <w:sz w:val="22"/>
          <w:szCs w:val="22"/>
        </w:rPr>
        <w:t>3.0</w:t>
      </w:r>
      <w:r>
        <w:rPr>
          <w:sz w:val="22"/>
          <w:szCs w:val="22"/>
        </w:rPr>
        <w:t xml:space="preserve">%, followed by </w:t>
      </w:r>
      <w:r w:rsidR="00382A45">
        <w:rPr>
          <w:sz w:val="22"/>
          <w:szCs w:val="22"/>
        </w:rPr>
        <w:t>Shellharbour</w:t>
      </w:r>
      <w:r>
        <w:rPr>
          <w:sz w:val="22"/>
          <w:szCs w:val="22"/>
        </w:rPr>
        <w:t xml:space="preserve"> </w:t>
      </w:r>
      <w:r w:rsidR="00382A45">
        <w:rPr>
          <w:sz w:val="22"/>
          <w:szCs w:val="22"/>
        </w:rPr>
        <w:t>with 3.3</w:t>
      </w:r>
      <w:r>
        <w:rPr>
          <w:sz w:val="22"/>
          <w:szCs w:val="22"/>
        </w:rPr>
        <w:t>%</w:t>
      </w:r>
      <w:r w:rsidR="00BF4CE2">
        <w:rPr>
          <w:sz w:val="22"/>
          <w:szCs w:val="22"/>
        </w:rPr>
        <w:t>, Wollongong with 5.3%</w:t>
      </w:r>
      <w:r>
        <w:rPr>
          <w:sz w:val="22"/>
          <w:szCs w:val="22"/>
        </w:rPr>
        <w:t xml:space="preserve"> and </w:t>
      </w:r>
      <w:r w:rsidR="00BF4CE2">
        <w:rPr>
          <w:sz w:val="22"/>
          <w:szCs w:val="22"/>
        </w:rPr>
        <w:t xml:space="preserve">Shoalhaven </w:t>
      </w:r>
      <w:r>
        <w:rPr>
          <w:sz w:val="22"/>
          <w:szCs w:val="22"/>
        </w:rPr>
        <w:t>with 8</w:t>
      </w:r>
      <w:r w:rsidR="00BF4CE2">
        <w:rPr>
          <w:sz w:val="22"/>
          <w:szCs w:val="22"/>
        </w:rPr>
        <w:t>.2</w:t>
      </w:r>
      <w:r>
        <w:rPr>
          <w:sz w:val="22"/>
          <w:szCs w:val="22"/>
        </w:rPr>
        <w:t>%.</w:t>
      </w:r>
    </w:p>
    <w:p w14:paraId="4B1994EA" w14:textId="77777777" w:rsidR="005B4138" w:rsidRPr="003020E4" w:rsidRDefault="005B4138" w:rsidP="001A69A0">
      <w:pPr>
        <w:numPr>
          <w:ilvl w:val="0"/>
          <w:numId w:val="3"/>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 in the </w:t>
      </w:r>
      <w:r w:rsidR="00643C09">
        <w:rPr>
          <w:sz w:val="22"/>
          <w:szCs w:val="22"/>
        </w:rPr>
        <w:t xml:space="preserve">Illawarra Shoalhaven </w:t>
      </w:r>
      <w:r>
        <w:rPr>
          <w:sz w:val="22"/>
          <w:szCs w:val="22"/>
        </w:rPr>
        <w:t xml:space="preserve">LGAs </w:t>
      </w:r>
      <w:r w:rsidRPr="003020E4">
        <w:rPr>
          <w:sz w:val="22"/>
          <w:szCs w:val="22"/>
        </w:rPr>
        <w:t xml:space="preserve">and Rest of NSW between 2001 and 2022.  </w:t>
      </w:r>
    </w:p>
    <w:p w14:paraId="2F72AB40" w14:textId="77777777" w:rsidR="00E1656E" w:rsidRPr="00C04D35" w:rsidRDefault="00E1656E" w:rsidP="001A69A0">
      <w:pPr>
        <w:numPr>
          <w:ilvl w:val="0"/>
          <w:numId w:val="8"/>
        </w:numPr>
        <w:spacing w:before="0" w:after="0"/>
        <w:jc w:val="both"/>
        <w:rPr>
          <w:sz w:val="22"/>
          <w:szCs w:val="22"/>
        </w:rPr>
      </w:pPr>
      <w:r w:rsidRPr="00C04D35">
        <w:rPr>
          <w:sz w:val="22"/>
          <w:szCs w:val="22"/>
        </w:rPr>
        <w:t xml:space="preserve">Given the predominance of low income </w:t>
      </w:r>
      <w:r w:rsidR="007B23C0" w:rsidRPr="00C04D35">
        <w:rPr>
          <w:sz w:val="22"/>
          <w:szCs w:val="22"/>
        </w:rPr>
        <w:t xml:space="preserve">households </w:t>
      </w:r>
      <w:r w:rsidRPr="00C04D35">
        <w:rPr>
          <w:sz w:val="22"/>
          <w:szCs w:val="22"/>
        </w:rPr>
        <w:t xml:space="preserve">in the Illawarra </w:t>
      </w:r>
      <w:r w:rsidR="00BA5E26" w:rsidRPr="00C04D35">
        <w:rPr>
          <w:sz w:val="22"/>
          <w:szCs w:val="22"/>
        </w:rPr>
        <w:t xml:space="preserve">Shoalhaven </w:t>
      </w:r>
      <w:r w:rsidRPr="00C04D35">
        <w:rPr>
          <w:sz w:val="22"/>
          <w:szCs w:val="22"/>
        </w:rPr>
        <w:t xml:space="preserve">region, the declining proportion of private rental accommodation affordable for lower income earners is of concern.  </w:t>
      </w:r>
    </w:p>
    <w:p w14:paraId="5D2092B6" w14:textId="77777777" w:rsidR="00E1656E" w:rsidRPr="00C04D35" w:rsidRDefault="00E1656E" w:rsidP="007E0F53">
      <w:pPr>
        <w:numPr>
          <w:ilvl w:val="0"/>
          <w:numId w:val="8"/>
        </w:numPr>
        <w:spacing w:before="0" w:after="0"/>
        <w:jc w:val="both"/>
        <w:rPr>
          <w:sz w:val="22"/>
          <w:szCs w:val="22"/>
        </w:rPr>
      </w:pPr>
      <w:r w:rsidRPr="00C04D35">
        <w:rPr>
          <w:sz w:val="22"/>
          <w:szCs w:val="22"/>
        </w:rPr>
        <w:t xml:space="preserve">This suggests a growing gap between demand and supply, which is borne out by other evidence in the graph below, which shows the change in the proportion of private rental accommodation that is affordable for very low income households in the Illawarra </w:t>
      </w:r>
      <w:r w:rsidR="004C341F" w:rsidRPr="00C04D35">
        <w:rPr>
          <w:sz w:val="22"/>
          <w:szCs w:val="22"/>
        </w:rPr>
        <w:t xml:space="preserve">Shoalhaven </w:t>
      </w:r>
      <w:r w:rsidR="00C04D35" w:rsidRPr="00C04D35">
        <w:rPr>
          <w:sz w:val="22"/>
          <w:szCs w:val="22"/>
        </w:rPr>
        <w:t>LGAs.  Clearly from 2016 onwards the proportion of private rental that was affordable to very low income households declined and has remained fairly tight, particularly in comparison to the Rest of NSW</w:t>
      </w:r>
    </w:p>
    <w:p w14:paraId="45A92F80" w14:textId="77777777" w:rsidR="000D12D3" w:rsidRDefault="000D12D3" w:rsidP="00E1656E">
      <w:pPr>
        <w:jc w:val="both"/>
        <w:rPr>
          <w:sz w:val="22"/>
          <w:szCs w:val="22"/>
        </w:rPr>
      </w:pPr>
      <w:r>
        <w:rPr>
          <w:sz w:val="22"/>
          <w:szCs w:val="22"/>
        </w:rPr>
        <w:t>Proportion affordable rental for very low income households</w:t>
      </w:r>
    </w:p>
    <w:p w14:paraId="0690241C" w14:textId="77777777" w:rsidR="00382A45" w:rsidRDefault="00382A45" w:rsidP="00E1656E">
      <w:pPr>
        <w:jc w:val="both"/>
        <w:rPr>
          <w:sz w:val="22"/>
          <w:szCs w:val="22"/>
        </w:rPr>
      </w:pPr>
      <w:r w:rsidRPr="00382A45">
        <w:rPr>
          <w:noProof/>
        </w:rPr>
        <w:drawing>
          <wp:inline distT="0" distB="0" distL="0" distR="0" wp14:anchorId="3D80D22A" wp14:editId="120B5D58">
            <wp:extent cx="6134100" cy="13046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0571" cy="1314494"/>
                    </a:xfrm>
                    <a:prstGeom prst="rect">
                      <a:avLst/>
                    </a:prstGeom>
                    <a:noFill/>
                    <a:ln>
                      <a:noFill/>
                    </a:ln>
                  </pic:spPr>
                </pic:pic>
              </a:graphicData>
            </a:graphic>
          </wp:inline>
        </w:drawing>
      </w:r>
    </w:p>
    <w:p w14:paraId="62C5FB25" w14:textId="77777777" w:rsidR="000D12D3" w:rsidRDefault="000D12D3" w:rsidP="00E1656E">
      <w:pPr>
        <w:jc w:val="both"/>
        <w:rPr>
          <w:sz w:val="22"/>
          <w:szCs w:val="22"/>
        </w:rPr>
      </w:pPr>
    </w:p>
    <w:p w14:paraId="6040A463" w14:textId="77777777" w:rsidR="000D12D3" w:rsidRDefault="000D12D3" w:rsidP="00E1656E">
      <w:pPr>
        <w:jc w:val="both"/>
        <w:rPr>
          <w:sz w:val="22"/>
          <w:szCs w:val="22"/>
        </w:rPr>
      </w:pPr>
    </w:p>
    <w:p w14:paraId="2AEF6406" w14:textId="77777777" w:rsidR="000D12D3" w:rsidRDefault="000D12D3" w:rsidP="00E1656E">
      <w:pPr>
        <w:jc w:val="both"/>
        <w:rPr>
          <w:sz w:val="22"/>
          <w:szCs w:val="22"/>
        </w:rPr>
      </w:pPr>
      <w:r>
        <w:rPr>
          <w:noProof/>
          <w:sz w:val="22"/>
          <w:szCs w:val="22"/>
        </w:rPr>
        <w:lastRenderedPageBreak/>
        <w:drawing>
          <wp:inline distT="0" distB="0" distL="0" distR="0" wp14:anchorId="5908A267" wp14:editId="3B4B346B">
            <wp:extent cx="6032500" cy="2853711"/>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2449" cy="2863148"/>
                    </a:xfrm>
                    <a:prstGeom prst="rect">
                      <a:avLst/>
                    </a:prstGeom>
                    <a:noFill/>
                  </pic:spPr>
                </pic:pic>
              </a:graphicData>
            </a:graphic>
          </wp:inline>
        </w:drawing>
      </w:r>
    </w:p>
    <w:p w14:paraId="3CDD0FE6" w14:textId="77777777" w:rsidR="000D12D3" w:rsidRDefault="000D12D3" w:rsidP="00E1656E">
      <w:pPr>
        <w:jc w:val="both"/>
        <w:rPr>
          <w:sz w:val="22"/>
          <w:szCs w:val="22"/>
        </w:rPr>
      </w:pPr>
    </w:p>
    <w:p w14:paraId="07B7BC9B" w14:textId="77777777" w:rsidR="000D12D3" w:rsidRDefault="000D12D3" w:rsidP="00E1656E">
      <w:pPr>
        <w:jc w:val="both"/>
        <w:rPr>
          <w:sz w:val="22"/>
          <w:szCs w:val="22"/>
        </w:rPr>
      </w:pPr>
    </w:p>
    <w:p w14:paraId="2ECB35D1" w14:textId="77777777" w:rsidR="000D12D3" w:rsidRPr="00EC3534" w:rsidRDefault="000D12D3" w:rsidP="00E1656E">
      <w:pPr>
        <w:jc w:val="both"/>
        <w:rPr>
          <w:sz w:val="22"/>
          <w:szCs w:val="22"/>
        </w:rPr>
      </w:pPr>
    </w:p>
    <w:p w14:paraId="44DC4C8C" w14:textId="77777777" w:rsidR="00421277" w:rsidRPr="00240D80" w:rsidRDefault="00421277" w:rsidP="001A69A0">
      <w:pPr>
        <w:numPr>
          <w:ilvl w:val="0"/>
          <w:numId w:val="11"/>
        </w:numPr>
        <w:spacing w:before="0" w:after="0"/>
        <w:jc w:val="both"/>
        <w:rPr>
          <w:sz w:val="22"/>
          <w:szCs w:val="22"/>
        </w:rPr>
      </w:pPr>
      <w:r w:rsidRPr="00EC3534">
        <w:rPr>
          <w:sz w:val="22"/>
          <w:szCs w:val="22"/>
        </w:rPr>
        <w:t>There has been a similar decline in rental affordability for low income households in the region</w:t>
      </w:r>
      <w:r>
        <w:rPr>
          <w:sz w:val="22"/>
          <w:szCs w:val="22"/>
        </w:rPr>
        <w:t xml:space="preserve">, </w:t>
      </w:r>
      <w:r w:rsidRPr="00240D80">
        <w:rPr>
          <w:sz w:val="22"/>
          <w:szCs w:val="22"/>
        </w:rPr>
        <w:t xml:space="preserve">with every LGA having a </w:t>
      </w:r>
      <w:r>
        <w:rPr>
          <w:sz w:val="22"/>
          <w:szCs w:val="22"/>
        </w:rPr>
        <w:t xml:space="preserve">significantly </w:t>
      </w:r>
      <w:r w:rsidRPr="00240D80">
        <w:rPr>
          <w:sz w:val="22"/>
          <w:szCs w:val="22"/>
        </w:rPr>
        <w:t xml:space="preserve">lower proportion of affordable rental </w:t>
      </w:r>
      <w:r>
        <w:rPr>
          <w:sz w:val="22"/>
          <w:szCs w:val="22"/>
        </w:rPr>
        <w:t>for low income households in 2022</w:t>
      </w:r>
      <w:r w:rsidRPr="00240D80">
        <w:rPr>
          <w:sz w:val="22"/>
          <w:szCs w:val="22"/>
        </w:rPr>
        <w:t xml:space="preserve"> than in 2001.</w:t>
      </w:r>
    </w:p>
    <w:p w14:paraId="5271647C" w14:textId="77777777" w:rsidR="00421277" w:rsidRDefault="00421277" w:rsidP="001A69A0">
      <w:pPr>
        <w:numPr>
          <w:ilvl w:val="0"/>
          <w:numId w:val="11"/>
        </w:numPr>
        <w:spacing w:before="0" w:after="0"/>
        <w:jc w:val="both"/>
        <w:rPr>
          <w:sz w:val="22"/>
          <w:szCs w:val="22"/>
        </w:rPr>
      </w:pPr>
      <w:r>
        <w:rPr>
          <w:sz w:val="22"/>
          <w:szCs w:val="22"/>
        </w:rPr>
        <w:t>In the Rest of NSW, between 2018 and 2020 the proportion of rental affordable for low income households increased gently from 54.1% to 55.2% and then declined again to 45.4% in June 2022.</w:t>
      </w:r>
    </w:p>
    <w:p w14:paraId="6328C9C7" w14:textId="77777777" w:rsidR="00421277" w:rsidRDefault="00421277" w:rsidP="001A69A0">
      <w:pPr>
        <w:numPr>
          <w:ilvl w:val="0"/>
          <w:numId w:val="11"/>
        </w:numPr>
        <w:spacing w:before="0" w:after="0"/>
        <w:jc w:val="both"/>
        <w:rPr>
          <w:sz w:val="22"/>
          <w:szCs w:val="22"/>
        </w:rPr>
      </w:pPr>
      <w:r>
        <w:rPr>
          <w:sz w:val="22"/>
          <w:szCs w:val="22"/>
        </w:rPr>
        <w:t>A</w:t>
      </w:r>
      <w:r w:rsidR="006C1346">
        <w:rPr>
          <w:sz w:val="22"/>
          <w:szCs w:val="22"/>
        </w:rPr>
        <w:t>s for very low income households,</w:t>
      </w:r>
      <w:r>
        <w:rPr>
          <w:sz w:val="22"/>
          <w:szCs w:val="22"/>
        </w:rPr>
        <w:t xml:space="preserve"> the picture in the </w:t>
      </w:r>
      <w:r w:rsidR="006C1346">
        <w:rPr>
          <w:sz w:val="22"/>
          <w:szCs w:val="22"/>
        </w:rPr>
        <w:t>Illawarra Shoalhaven</w:t>
      </w:r>
      <w:r>
        <w:rPr>
          <w:sz w:val="22"/>
          <w:szCs w:val="22"/>
        </w:rPr>
        <w:t xml:space="preserve"> was more varied.</w:t>
      </w:r>
    </w:p>
    <w:p w14:paraId="2ED1C43D" w14:textId="77777777" w:rsidR="00421277" w:rsidRDefault="00421277" w:rsidP="001A69A0">
      <w:pPr>
        <w:numPr>
          <w:ilvl w:val="0"/>
          <w:numId w:val="11"/>
        </w:numPr>
        <w:spacing w:before="0" w:after="0"/>
        <w:jc w:val="both"/>
        <w:rPr>
          <w:sz w:val="22"/>
          <w:szCs w:val="22"/>
        </w:rPr>
      </w:pPr>
      <w:r>
        <w:rPr>
          <w:sz w:val="22"/>
          <w:szCs w:val="22"/>
        </w:rPr>
        <w:t>Between 2018 and 2019 affordability improved in</w:t>
      </w:r>
      <w:r w:rsidR="006C1346">
        <w:rPr>
          <w:sz w:val="22"/>
          <w:szCs w:val="22"/>
        </w:rPr>
        <w:t xml:space="preserve"> every Illawarra Shoalhaven LGA</w:t>
      </w:r>
      <w:r>
        <w:rPr>
          <w:sz w:val="22"/>
          <w:szCs w:val="22"/>
        </w:rPr>
        <w:t>.</w:t>
      </w:r>
    </w:p>
    <w:p w14:paraId="4062360C" w14:textId="77777777" w:rsidR="00421277" w:rsidRDefault="00421277" w:rsidP="001A69A0">
      <w:pPr>
        <w:numPr>
          <w:ilvl w:val="0"/>
          <w:numId w:val="11"/>
        </w:numPr>
        <w:spacing w:before="0" w:after="0"/>
        <w:jc w:val="both"/>
        <w:rPr>
          <w:sz w:val="22"/>
          <w:szCs w:val="22"/>
        </w:rPr>
      </w:pPr>
      <w:r>
        <w:rPr>
          <w:sz w:val="22"/>
          <w:szCs w:val="22"/>
        </w:rPr>
        <w:t xml:space="preserve">Between 2019 and 2020 the proportion affordable for rental for low income households increased in </w:t>
      </w:r>
      <w:r w:rsidR="006C1346">
        <w:rPr>
          <w:sz w:val="22"/>
          <w:szCs w:val="22"/>
        </w:rPr>
        <w:t xml:space="preserve">Shellharbour, Shoalhaven and Wollongong </w:t>
      </w:r>
      <w:r>
        <w:rPr>
          <w:sz w:val="22"/>
          <w:szCs w:val="22"/>
        </w:rPr>
        <w:t>and declined</w:t>
      </w:r>
      <w:r w:rsidR="006C1346">
        <w:rPr>
          <w:sz w:val="22"/>
          <w:szCs w:val="22"/>
        </w:rPr>
        <w:t xml:space="preserve"> in Kiama</w:t>
      </w:r>
      <w:r>
        <w:rPr>
          <w:sz w:val="22"/>
          <w:szCs w:val="22"/>
        </w:rPr>
        <w:t>.</w:t>
      </w:r>
    </w:p>
    <w:p w14:paraId="12C034B1" w14:textId="77777777" w:rsidR="00421277" w:rsidRDefault="00421277" w:rsidP="001A69A0">
      <w:pPr>
        <w:numPr>
          <w:ilvl w:val="0"/>
          <w:numId w:val="11"/>
        </w:numPr>
        <w:spacing w:before="0" w:after="0"/>
        <w:jc w:val="both"/>
        <w:rPr>
          <w:sz w:val="22"/>
          <w:szCs w:val="22"/>
        </w:rPr>
      </w:pPr>
      <w:r>
        <w:rPr>
          <w:sz w:val="22"/>
          <w:szCs w:val="22"/>
        </w:rPr>
        <w:t xml:space="preserve">Between 2020 and 2021 affordable rental for low income households </w:t>
      </w:r>
      <w:r w:rsidR="006C1346">
        <w:rPr>
          <w:sz w:val="22"/>
          <w:szCs w:val="22"/>
        </w:rPr>
        <w:t>declined in Kiama, Shoalhaven and Wollongong and improved in Shellharbour</w:t>
      </w:r>
      <w:r>
        <w:rPr>
          <w:sz w:val="22"/>
          <w:szCs w:val="22"/>
        </w:rPr>
        <w:t>.</w:t>
      </w:r>
    </w:p>
    <w:p w14:paraId="72B224F8" w14:textId="77777777" w:rsidR="00421277" w:rsidRDefault="00421277" w:rsidP="001A69A0">
      <w:pPr>
        <w:numPr>
          <w:ilvl w:val="0"/>
          <w:numId w:val="11"/>
        </w:numPr>
        <w:spacing w:before="0" w:after="0"/>
        <w:jc w:val="both"/>
        <w:rPr>
          <w:sz w:val="22"/>
          <w:szCs w:val="22"/>
        </w:rPr>
      </w:pPr>
      <w:r>
        <w:rPr>
          <w:sz w:val="22"/>
          <w:szCs w:val="22"/>
        </w:rPr>
        <w:t>Then between 2021 and 2022 affordability declined in every</w:t>
      </w:r>
      <w:r w:rsidR="006C1346">
        <w:rPr>
          <w:sz w:val="22"/>
          <w:szCs w:val="22"/>
        </w:rPr>
        <w:t xml:space="preserve"> Illawarra Shoalhaven LGA with the exception of Kiama (which had a significant increase in the proportion affordable rental for low income households)</w:t>
      </w:r>
      <w:r>
        <w:rPr>
          <w:sz w:val="22"/>
          <w:szCs w:val="22"/>
        </w:rPr>
        <w:t>.</w:t>
      </w:r>
    </w:p>
    <w:p w14:paraId="3741208D" w14:textId="77777777" w:rsidR="00421277" w:rsidRDefault="00421277" w:rsidP="001A69A0">
      <w:pPr>
        <w:numPr>
          <w:ilvl w:val="0"/>
          <w:numId w:val="11"/>
        </w:numPr>
        <w:spacing w:before="0" w:after="0"/>
        <w:jc w:val="both"/>
        <w:rPr>
          <w:sz w:val="22"/>
          <w:szCs w:val="22"/>
        </w:rPr>
      </w:pPr>
      <w:r>
        <w:rPr>
          <w:sz w:val="22"/>
          <w:szCs w:val="22"/>
        </w:rPr>
        <w:t xml:space="preserve">At June 2022 </w:t>
      </w:r>
      <w:r w:rsidR="006C1346">
        <w:rPr>
          <w:sz w:val="22"/>
          <w:szCs w:val="22"/>
        </w:rPr>
        <w:t xml:space="preserve">all </w:t>
      </w:r>
      <w:r>
        <w:rPr>
          <w:sz w:val="22"/>
          <w:szCs w:val="22"/>
        </w:rPr>
        <w:t xml:space="preserve">four </w:t>
      </w:r>
      <w:r w:rsidR="006C1346">
        <w:rPr>
          <w:sz w:val="22"/>
          <w:szCs w:val="22"/>
        </w:rPr>
        <w:t>Illawarra Shoalhaven</w:t>
      </w:r>
      <w:r>
        <w:rPr>
          <w:sz w:val="22"/>
          <w:szCs w:val="22"/>
        </w:rPr>
        <w:t xml:space="preserve"> LGAs have a lower proportion of affordable private rental for low income households than the average of 45.4% for the Rest of NSW.</w:t>
      </w:r>
      <w:r w:rsidR="006C1346">
        <w:rPr>
          <w:sz w:val="22"/>
          <w:szCs w:val="22"/>
        </w:rPr>
        <w:t xml:space="preserve">  Shellharbour has the lowest proportion with 13.8%, followed by Kiama with 14.2%, Wollongong with 26.5% and Shoalhaven with 37.5%.  </w:t>
      </w:r>
    </w:p>
    <w:p w14:paraId="588A8EC6" w14:textId="77777777" w:rsidR="0000107F" w:rsidRDefault="0000107F" w:rsidP="001A69A0">
      <w:pPr>
        <w:numPr>
          <w:ilvl w:val="0"/>
          <w:numId w:val="11"/>
        </w:numPr>
        <w:spacing w:before="0" w:after="0"/>
        <w:jc w:val="both"/>
        <w:rPr>
          <w:sz w:val="22"/>
          <w:szCs w:val="22"/>
        </w:rPr>
      </w:pPr>
      <w:r>
        <w:rPr>
          <w:sz w:val="22"/>
          <w:szCs w:val="22"/>
        </w:rPr>
        <w:t xml:space="preserve">Since June 2020 Shoalhaven has had the most significant decline in affordable private rental </w:t>
      </w:r>
      <w:r w:rsidR="00214FA0">
        <w:rPr>
          <w:sz w:val="22"/>
          <w:szCs w:val="22"/>
        </w:rPr>
        <w:t xml:space="preserve">in the region </w:t>
      </w:r>
      <w:r>
        <w:rPr>
          <w:sz w:val="22"/>
          <w:szCs w:val="22"/>
        </w:rPr>
        <w:t>(from 52.9% to 37.5%)</w:t>
      </w:r>
      <w:r w:rsidR="00214FA0">
        <w:rPr>
          <w:sz w:val="22"/>
          <w:szCs w:val="22"/>
        </w:rPr>
        <w:t xml:space="preserve"> and much greater than the average for the Rest of NSW (which declined from 55.2% to 45.4%).</w:t>
      </w:r>
    </w:p>
    <w:p w14:paraId="56941BB1" w14:textId="77777777" w:rsidR="00421277" w:rsidRPr="00240D80" w:rsidRDefault="00421277" w:rsidP="001A69A0">
      <w:pPr>
        <w:numPr>
          <w:ilvl w:val="0"/>
          <w:numId w:val="11"/>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in the </w:t>
      </w:r>
      <w:r w:rsidR="0000107F">
        <w:rPr>
          <w:sz w:val="22"/>
          <w:szCs w:val="22"/>
        </w:rPr>
        <w:t xml:space="preserve">Illawarra Shoalhaven </w:t>
      </w:r>
      <w:r w:rsidRPr="003020E4">
        <w:rPr>
          <w:sz w:val="22"/>
          <w:szCs w:val="22"/>
        </w:rPr>
        <w:t>and Rest of NSW between 2001 and 2022</w:t>
      </w:r>
      <w:r>
        <w:rPr>
          <w:sz w:val="22"/>
          <w:szCs w:val="22"/>
        </w:rPr>
        <w:t>.</w:t>
      </w:r>
    </w:p>
    <w:p w14:paraId="0AF7465F" w14:textId="77777777" w:rsidR="00421277" w:rsidRDefault="00421277" w:rsidP="0000107F">
      <w:pPr>
        <w:pStyle w:val="ListParagraph"/>
        <w:spacing w:before="0" w:line="259" w:lineRule="auto"/>
        <w:ind w:left="360"/>
        <w:jc w:val="both"/>
        <w:rPr>
          <w:sz w:val="22"/>
          <w:szCs w:val="22"/>
        </w:rPr>
      </w:pPr>
    </w:p>
    <w:p w14:paraId="4B5361A9" w14:textId="77777777" w:rsidR="000D12D3" w:rsidRDefault="000D12D3" w:rsidP="000D12D3">
      <w:pPr>
        <w:spacing w:before="0" w:line="259" w:lineRule="auto"/>
        <w:jc w:val="both"/>
        <w:rPr>
          <w:sz w:val="22"/>
          <w:szCs w:val="22"/>
        </w:rPr>
      </w:pPr>
      <w:r>
        <w:rPr>
          <w:sz w:val="22"/>
          <w:szCs w:val="22"/>
        </w:rPr>
        <w:t>Proportion affordable rental for low income households</w:t>
      </w:r>
    </w:p>
    <w:p w14:paraId="58D65E3E" w14:textId="77777777" w:rsidR="000D12D3" w:rsidRPr="000D12D3" w:rsidRDefault="000D12D3" w:rsidP="000D12D3">
      <w:pPr>
        <w:spacing w:before="0" w:line="259" w:lineRule="auto"/>
        <w:jc w:val="both"/>
        <w:rPr>
          <w:sz w:val="22"/>
          <w:szCs w:val="22"/>
        </w:rPr>
      </w:pPr>
      <w:r w:rsidRPr="000D12D3">
        <w:rPr>
          <w:noProof/>
        </w:rPr>
        <w:drawing>
          <wp:inline distT="0" distB="0" distL="0" distR="0" wp14:anchorId="4F26AF08" wp14:editId="1A15AEA9">
            <wp:extent cx="6010275" cy="1278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4837" cy="1281372"/>
                    </a:xfrm>
                    <a:prstGeom prst="rect">
                      <a:avLst/>
                    </a:prstGeom>
                    <a:noFill/>
                    <a:ln>
                      <a:noFill/>
                    </a:ln>
                  </pic:spPr>
                </pic:pic>
              </a:graphicData>
            </a:graphic>
          </wp:inline>
        </w:drawing>
      </w:r>
    </w:p>
    <w:p w14:paraId="32EA6629" w14:textId="77777777" w:rsidR="00E1656E" w:rsidRDefault="00E1656E" w:rsidP="00E1656E">
      <w:pPr>
        <w:jc w:val="both"/>
        <w:rPr>
          <w:noProof/>
          <w:sz w:val="20"/>
          <w:szCs w:val="20"/>
        </w:rPr>
      </w:pPr>
    </w:p>
    <w:p w14:paraId="655E137A" w14:textId="77777777" w:rsidR="000D12D3" w:rsidRDefault="000D12D3" w:rsidP="00E1656E">
      <w:pPr>
        <w:jc w:val="both"/>
        <w:rPr>
          <w:noProof/>
          <w:sz w:val="20"/>
          <w:szCs w:val="20"/>
        </w:rPr>
      </w:pPr>
      <w:r>
        <w:rPr>
          <w:noProof/>
          <w:sz w:val="20"/>
          <w:szCs w:val="20"/>
        </w:rPr>
        <w:drawing>
          <wp:inline distT="0" distB="0" distL="0" distR="0" wp14:anchorId="4CDA3A52" wp14:editId="6AFC4D14">
            <wp:extent cx="6041390" cy="29811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5953" cy="2988382"/>
                    </a:xfrm>
                    <a:prstGeom prst="rect">
                      <a:avLst/>
                    </a:prstGeom>
                    <a:noFill/>
                  </pic:spPr>
                </pic:pic>
              </a:graphicData>
            </a:graphic>
          </wp:inline>
        </w:drawing>
      </w:r>
    </w:p>
    <w:p w14:paraId="651E0E54" w14:textId="77777777" w:rsidR="000D12D3" w:rsidRDefault="000D12D3" w:rsidP="00E1656E">
      <w:pPr>
        <w:jc w:val="both"/>
        <w:rPr>
          <w:noProof/>
          <w:sz w:val="20"/>
          <w:szCs w:val="20"/>
        </w:rPr>
      </w:pPr>
    </w:p>
    <w:p w14:paraId="4D1892A4" w14:textId="77777777" w:rsidR="00A5443E" w:rsidRDefault="00D827F7" w:rsidP="001A69A0">
      <w:pPr>
        <w:numPr>
          <w:ilvl w:val="0"/>
          <w:numId w:val="8"/>
        </w:numPr>
        <w:spacing w:before="0" w:after="0"/>
        <w:rPr>
          <w:sz w:val="22"/>
          <w:szCs w:val="22"/>
        </w:rPr>
      </w:pPr>
      <w:r w:rsidRPr="00A5443E">
        <w:rPr>
          <w:sz w:val="22"/>
          <w:szCs w:val="22"/>
        </w:rPr>
        <w:t xml:space="preserve">There is evidence that short term holiday rentals such as Airbnb are impacting the supply of housing, including long term rental and affordable housing in cities and coastal communities.   </w:t>
      </w:r>
    </w:p>
    <w:p w14:paraId="42BE8D85" w14:textId="77777777" w:rsidR="00D827F7" w:rsidRPr="00A5443E" w:rsidRDefault="00D827F7" w:rsidP="001A69A0">
      <w:pPr>
        <w:numPr>
          <w:ilvl w:val="0"/>
          <w:numId w:val="8"/>
        </w:numPr>
        <w:spacing w:before="0" w:after="0"/>
        <w:rPr>
          <w:sz w:val="22"/>
          <w:szCs w:val="22"/>
        </w:rPr>
      </w:pPr>
      <w:r w:rsidRPr="00A5443E">
        <w:rPr>
          <w:sz w:val="22"/>
          <w:szCs w:val="22"/>
        </w:rPr>
        <w:t xml:space="preserve">The University of Sydney Urban Housing Lab undertook a study and prepared a report for the Australian Coastal Councils on short term holiday rentals: “Planning responses to online short term holiday rental platforms” -  Research Project for Australian Coastal Councils Association Inc. September 2018  by Nicole Gurran, Yuting Zhang, Pranita Shrestha, Catherine Gilbert.  </w:t>
      </w:r>
    </w:p>
    <w:p w14:paraId="23480F65" w14:textId="77777777" w:rsidR="00D827F7" w:rsidRDefault="00D827F7" w:rsidP="001A69A0">
      <w:pPr>
        <w:numPr>
          <w:ilvl w:val="0"/>
          <w:numId w:val="8"/>
        </w:numPr>
        <w:spacing w:before="0" w:after="0"/>
        <w:rPr>
          <w:sz w:val="22"/>
          <w:szCs w:val="22"/>
        </w:rPr>
      </w:pPr>
      <w:r w:rsidRPr="00B83551">
        <w:rPr>
          <w:sz w:val="22"/>
          <w:szCs w:val="22"/>
        </w:rPr>
        <w:t xml:space="preserve">The study found (p7) “that there has been a rapid growth in online holiday rental listings overall and in coastal Australia in particular. Since Airbnb was launched in Australia, the number of listings has risen to over 130,000 properties, amounting to around 0.2% of the housing stock nationwide. If holiday rentals are considered to be part of the rental housing stock (a smaller proportion of Australian homes), then Airbnb listings for whole homes represent around 3.5% of rental accommodation. In coastal communities, the rate is much higher. Across the </w:t>
      </w:r>
      <w:r w:rsidRPr="00B83551">
        <w:rPr>
          <w:sz w:val="22"/>
          <w:szCs w:val="22"/>
        </w:rPr>
        <w:lastRenderedPageBreak/>
        <w:t>communities in this study, between 0.3% (Moreton Bay) and 17.6 % (Byron) of the total housing stock is listed on Airbnb.”</w:t>
      </w:r>
    </w:p>
    <w:p w14:paraId="1E8354A2" w14:textId="77777777" w:rsidR="00D827F7" w:rsidRPr="006804F8" w:rsidRDefault="00D827F7" w:rsidP="001A69A0">
      <w:pPr>
        <w:numPr>
          <w:ilvl w:val="0"/>
          <w:numId w:val="8"/>
        </w:numPr>
        <w:spacing w:before="0" w:after="0"/>
        <w:rPr>
          <w:sz w:val="22"/>
          <w:szCs w:val="22"/>
        </w:rPr>
      </w:pPr>
      <w:r>
        <w:rPr>
          <w:sz w:val="22"/>
          <w:szCs w:val="22"/>
        </w:rPr>
        <w:t>Further (p7) “ the majority of these listings are whole houses, and more than half appear to be frequently available holiday lets rather than permanent residences.  Considered as part of the rental housing stock, these whole houses, frequently available, amount to 19.7% of the rental housing stock in Kiama…”</w:t>
      </w:r>
      <w:r w:rsidR="006260A4">
        <w:rPr>
          <w:sz w:val="22"/>
          <w:szCs w:val="22"/>
        </w:rPr>
        <w:t xml:space="preserve"> and (p23) </w:t>
      </w:r>
      <w:r w:rsidR="006E1EBC">
        <w:rPr>
          <w:sz w:val="22"/>
          <w:szCs w:val="22"/>
        </w:rPr>
        <w:t xml:space="preserve">21.6% in Shoalhaven.  The report states that (p23) </w:t>
      </w:r>
      <w:r w:rsidR="006260A4">
        <w:rPr>
          <w:sz w:val="22"/>
          <w:szCs w:val="22"/>
        </w:rPr>
        <w:t xml:space="preserve">“Airbnb listings…is equivalent to </w:t>
      </w:r>
      <w:r w:rsidR="006260A4" w:rsidRPr="006804F8">
        <w:rPr>
          <w:sz w:val="22"/>
          <w:szCs w:val="22"/>
        </w:rPr>
        <w:t>around a fifth of the rental housing stock in Kiama</w:t>
      </w:r>
      <w:r w:rsidR="006E1EBC" w:rsidRPr="006804F8">
        <w:rPr>
          <w:sz w:val="22"/>
          <w:szCs w:val="22"/>
        </w:rPr>
        <w:t xml:space="preserve"> (and)</w:t>
      </w:r>
      <w:r w:rsidR="006260A4" w:rsidRPr="006804F8">
        <w:rPr>
          <w:sz w:val="22"/>
          <w:szCs w:val="22"/>
        </w:rPr>
        <w:t xml:space="preserve"> Shoalhaven…”</w:t>
      </w:r>
    </w:p>
    <w:p w14:paraId="2F529482" w14:textId="77777777" w:rsidR="006804F8" w:rsidRDefault="001D0C88" w:rsidP="006804F8">
      <w:pPr>
        <w:numPr>
          <w:ilvl w:val="0"/>
          <w:numId w:val="8"/>
        </w:numPr>
        <w:spacing w:before="0" w:after="0"/>
        <w:rPr>
          <w:sz w:val="22"/>
          <w:szCs w:val="22"/>
        </w:rPr>
      </w:pPr>
      <w:r w:rsidRPr="006804F8">
        <w:rPr>
          <w:sz w:val="22"/>
          <w:szCs w:val="22"/>
        </w:rPr>
        <w:t>The study notes that (p25) “There has been rapid growth in Airbnb listings across many of the 12 case study communities, particularly between December 2016 and December 2017…Listings grew fivefold in Shoalhaven…”</w:t>
      </w:r>
    </w:p>
    <w:p w14:paraId="0E1807E9" w14:textId="77777777" w:rsidR="001D0C88" w:rsidRPr="00535BFF" w:rsidRDefault="001D0C88" w:rsidP="006804F8">
      <w:pPr>
        <w:numPr>
          <w:ilvl w:val="0"/>
          <w:numId w:val="8"/>
        </w:numPr>
        <w:spacing w:before="0" w:after="0"/>
        <w:rPr>
          <w:sz w:val="22"/>
          <w:szCs w:val="22"/>
        </w:rPr>
      </w:pPr>
      <w:r w:rsidRPr="006804F8">
        <w:rPr>
          <w:sz w:val="22"/>
          <w:szCs w:val="22"/>
        </w:rPr>
        <w:t>While Kiama and Shoalhaven are traditional tourist destinations, the rapid growth in on line listings and loss of affordable rental accommodation are likely connected, with tourist accommodation outcompeting longer term renting for locals, particularly in Kiama.  Shellharbour and Wollongong did not participate in this study, so the impact of Airbnb on those LGA</w:t>
      </w:r>
      <w:r w:rsidR="004E5367" w:rsidRPr="006804F8">
        <w:rPr>
          <w:sz w:val="22"/>
          <w:szCs w:val="22"/>
        </w:rPr>
        <w:t xml:space="preserve">s is not known.  </w:t>
      </w:r>
      <w:r w:rsidR="004E5367" w:rsidRPr="00535BFF">
        <w:rPr>
          <w:sz w:val="22"/>
          <w:szCs w:val="22"/>
        </w:rPr>
        <w:t xml:space="preserve">However, it offers a partial explanation for the loss of </w:t>
      </w:r>
      <w:r w:rsidR="00535BFF">
        <w:rPr>
          <w:sz w:val="22"/>
          <w:szCs w:val="22"/>
        </w:rPr>
        <w:t xml:space="preserve">both affordable rental homes and </w:t>
      </w:r>
      <w:r w:rsidR="004E5367" w:rsidRPr="00535BFF">
        <w:rPr>
          <w:sz w:val="22"/>
          <w:szCs w:val="22"/>
        </w:rPr>
        <w:t>low income rental households in the region.</w:t>
      </w:r>
    </w:p>
    <w:p w14:paraId="4AF43077" w14:textId="77777777" w:rsidR="00132456" w:rsidRDefault="00A5443E" w:rsidP="001A69A0">
      <w:pPr>
        <w:numPr>
          <w:ilvl w:val="0"/>
          <w:numId w:val="8"/>
        </w:numPr>
        <w:spacing w:before="0" w:after="0"/>
        <w:rPr>
          <w:sz w:val="22"/>
          <w:szCs w:val="22"/>
        </w:rPr>
      </w:pPr>
      <w:r>
        <w:rPr>
          <w:sz w:val="22"/>
          <w:szCs w:val="22"/>
        </w:rPr>
        <w:t xml:space="preserve">More recently, research by SQM showed that between July 2019 and July 2020 Shellharbour had an increase of 23% in Airbnb listings, </w:t>
      </w:r>
      <w:r w:rsidR="00132456">
        <w:rPr>
          <w:sz w:val="22"/>
          <w:szCs w:val="22"/>
        </w:rPr>
        <w:t>Shoalhaven by 9%, Wollongong by 4% and Kiama by 1%.</w:t>
      </w:r>
    </w:p>
    <w:p w14:paraId="14F40F43" w14:textId="77777777" w:rsidR="00A5443E" w:rsidRPr="000176E5" w:rsidRDefault="00A5443E" w:rsidP="001A69A0">
      <w:pPr>
        <w:numPr>
          <w:ilvl w:val="0"/>
          <w:numId w:val="8"/>
        </w:numPr>
        <w:spacing w:before="0" w:after="0"/>
        <w:rPr>
          <w:sz w:val="22"/>
          <w:szCs w:val="22"/>
        </w:rPr>
      </w:pPr>
      <w:r>
        <w:rPr>
          <w:sz w:val="22"/>
          <w:szCs w:val="22"/>
        </w:rPr>
        <w:t>Since 2020 it is likely that Airbnb listings have picked up again in the</w:t>
      </w:r>
      <w:r w:rsidR="00F07C98">
        <w:rPr>
          <w:sz w:val="22"/>
          <w:szCs w:val="22"/>
        </w:rPr>
        <w:t xml:space="preserve"> Illawarra Shoalhaven</w:t>
      </w:r>
      <w:r>
        <w:rPr>
          <w:sz w:val="22"/>
          <w:szCs w:val="22"/>
        </w:rPr>
        <w:t>.</w:t>
      </w:r>
    </w:p>
    <w:p w14:paraId="71FA427F" w14:textId="77777777" w:rsidR="00A5443E" w:rsidRPr="00B83551" w:rsidRDefault="00A5443E" w:rsidP="00132456">
      <w:pPr>
        <w:spacing w:before="0" w:after="0"/>
        <w:ind w:left="360"/>
        <w:rPr>
          <w:sz w:val="22"/>
          <w:szCs w:val="22"/>
        </w:rPr>
      </w:pPr>
    </w:p>
    <w:p w14:paraId="28D5F514" w14:textId="77777777" w:rsidR="009E6ADC" w:rsidRDefault="009E6ADC" w:rsidP="00E1656E">
      <w:pPr>
        <w:jc w:val="both"/>
        <w:rPr>
          <w:b/>
          <w:color w:val="008000"/>
          <w:sz w:val="32"/>
        </w:rPr>
      </w:pPr>
    </w:p>
    <w:p w14:paraId="3327CC52" w14:textId="77777777" w:rsidR="00E1656E" w:rsidRPr="00560A23" w:rsidRDefault="00E1656E" w:rsidP="00E1656E">
      <w:pPr>
        <w:jc w:val="both"/>
        <w:rPr>
          <w:b/>
          <w:color w:val="008000"/>
          <w:sz w:val="32"/>
        </w:rPr>
      </w:pPr>
      <w:r w:rsidRPr="00BC0C95">
        <w:rPr>
          <w:b/>
          <w:color w:val="008000"/>
          <w:sz w:val="32"/>
        </w:rPr>
        <w:t>Re</w:t>
      </w:r>
      <w:r w:rsidRPr="00560A23">
        <w:rPr>
          <w:b/>
          <w:color w:val="008000"/>
          <w:sz w:val="32"/>
        </w:rPr>
        <w:t>ntal Stress</w:t>
      </w:r>
    </w:p>
    <w:p w14:paraId="18D62747" w14:textId="77777777" w:rsidR="005A55F2" w:rsidRPr="00E44A18" w:rsidRDefault="005A55F2" w:rsidP="001A69A0">
      <w:pPr>
        <w:numPr>
          <w:ilvl w:val="0"/>
          <w:numId w:val="4"/>
        </w:numPr>
        <w:spacing w:before="0" w:after="0"/>
        <w:rPr>
          <w:sz w:val="22"/>
          <w:szCs w:val="22"/>
        </w:rPr>
      </w:pPr>
      <w:r w:rsidRPr="00E44A18">
        <w:rPr>
          <w:sz w:val="22"/>
          <w:szCs w:val="22"/>
        </w:rPr>
        <w:t>Households</w:t>
      </w:r>
      <w:r>
        <w:rPr>
          <w:sz w:val="22"/>
          <w:szCs w:val="22"/>
        </w:rPr>
        <w:t xml:space="preserve"> are</w:t>
      </w:r>
      <w:r w:rsidRPr="00E44A18">
        <w:rPr>
          <w:sz w:val="22"/>
          <w:szCs w:val="22"/>
        </w:rPr>
        <w:t xml:space="preserve"> regarded as being in rental stress </w:t>
      </w:r>
      <w:r>
        <w:rPr>
          <w:sz w:val="22"/>
          <w:szCs w:val="22"/>
        </w:rPr>
        <w:t xml:space="preserve">when </w:t>
      </w:r>
      <w:r w:rsidRPr="00E44A18">
        <w:rPr>
          <w:sz w:val="22"/>
          <w:szCs w:val="22"/>
        </w:rPr>
        <w:t xml:space="preserve">renting in the private rental market and paying more than 30% of their income in rent.  Lower income households in rental stress will struggle to pay for other essential household costs, such as medical or educational expenses, food, transport and energy costs. </w:t>
      </w:r>
    </w:p>
    <w:p w14:paraId="6AAD9F30" w14:textId="77777777" w:rsidR="00307395" w:rsidRDefault="005A55F2" w:rsidP="001A69A0">
      <w:pPr>
        <w:numPr>
          <w:ilvl w:val="0"/>
          <w:numId w:val="4"/>
        </w:numPr>
        <w:spacing w:before="0" w:after="0"/>
        <w:jc w:val="both"/>
        <w:rPr>
          <w:sz w:val="22"/>
          <w:szCs w:val="22"/>
        </w:rPr>
      </w:pPr>
      <w:r w:rsidRPr="00C94A4D">
        <w:rPr>
          <w:sz w:val="22"/>
          <w:szCs w:val="22"/>
        </w:rPr>
        <w:t xml:space="preserve">At June 2021 the proportion of very low income households in rental stress in the Rest of NSW (that is, excluding Sydney) was 91.7%.  </w:t>
      </w:r>
    </w:p>
    <w:p w14:paraId="21C0F0D2" w14:textId="77777777" w:rsidR="005A55F2" w:rsidRDefault="00307395" w:rsidP="001A69A0">
      <w:pPr>
        <w:numPr>
          <w:ilvl w:val="0"/>
          <w:numId w:val="4"/>
        </w:numPr>
        <w:spacing w:before="0" w:after="0"/>
        <w:jc w:val="both"/>
        <w:rPr>
          <w:sz w:val="22"/>
          <w:szCs w:val="22"/>
        </w:rPr>
      </w:pPr>
      <w:r>
        <w:rPr>
          <w:sz w:val="22"/>
          <w:szCs w:val="22"/>
        </w:rPr>
        <w:t xml:space="preserve">All Illawarra Shoalhaven LGAs had a higher proportion of very low income households in rental stress than </w:t>
      </w:r>
      <w:r w:rsidR="005A55F2">
        <w:rPr>
          <w:sz w:val="22"/>
          <w:szCs w:val="22"/>
        </w:rPr>
        <w:t xml:space="preserve">the average </w:t>
      </w:r>
      <w:r>
        <w:rPr>
          <w:sz w:val="22"/>
          <w:szCs w:val="22"/>
        </w:rPr>
        <w:t>for the Rest of NSW</w:t>
      </w:r>
      <w:r w:rsidR="005A55F2">
        <w:rPr>
          <w:sz w:val="22"/>
          <w:szCs w:val="22"/>
        </w:rPr>
        <w:t>.</w:t>
      </w:r>
      <w:r>
        <w:rPr>
          <w:sz w:val="22"/>
          <w:szCs w:val="22"/>
        </w:rPr>
        <w:t xml:space="preserve">  Wollongong had the highest proportion with 96.4%, followed by Kiama and Shellharbour with 95.9% and Shoalhaven with 95.6%.</w:t>
      </w:r>
    </w:p>
    <w:p w14:paraId="01E36FDA" w14:textId="77777777" w:rsidR="00AC3F2A" w:rsidRDefault="005A55F2" w:rsidP="001A69A0">
      <w:pPr>
        <w:numPr>
          <w:ilvl w:val="0"/>
          <w:numId w:val="4"/>
        </w:numPr>
        <w:spacing w:before="0" w:after="0"/>
        <w:jc w:val="both"/>
        <w:rPr>
          <w:sz w:val="22"/>
          <w:szCs w:val="22"/>
        </w:rPr>
      </w:pPr>
      <w:r>
        <w:rPr>
          <w:sz w:val="22"/>
          <w:szCs w:val="22"/>
        </w:rPr>
        <w:t xml:space="preserve">For </w:t>
      </w:r>
      <w:r w:rsidR="00307395">
        <w:rPr>
          <w:sz w:val="22"/>
          <w:szCs w:val="22"/>
        </w:rPr>
        <w:t xml:space="preserve">low income households at 2021 </w:t>
      </w:r>
      <w:r>
        <w:rPr>
          <w:sz w:val="22"/>
          <w:szCs w:val="22"/>
        </w:rPr>
        <w:t xml:space="preserve">the proportion in rental </w:t>
      </w:r>
      <w:r w:rsidR="00E93901">
        <w:rPr>
          <w:sz w:val="22"/>
          <w:szCs w:val="22"/>
        </w:rPr>
        <w:t xml:space="preserve">stress </w:t>
      </w:r>
      <w:r w:rsidR="00307395">
        <w:rPr>
          <w:sz w:val="22"/>
          <w:szCs w:val="22"/>
        </w:rPr>
        <w:t xml:space="preserve">for the Rest of NSW </w:t>
      </w:r>
      <w:r>
        <w:rPr>
          <w:sz w:val="22"/>
          <w:szCs w:val="22"/>
        </w:rPr>
        <w:t>was 68.3%</w:t>
      </w:r>
      <w:r w:rsidR="00AC3F2A">
        <w:rPr>
          <w:sz w:val="22"/>
          <w:szCs w:val="22"/>
        </w:rPr>
        <w:t xml:space="preserve">. </w:t>
      </w:r>
    </w:p>
    <w:p w14:paraId="0D469D38" w14:textId="77777777" w:rsidR="00AC3F2A" w:rsidRDefault="00AC3F2A" w:rsidP="001A69A0">
      <w:pPr>
        <w:numPr>
          <w:ilvl w:val="0"/>
          <w:numId w:val="4"/>
        </w:numPr>
        <w:spacing w:before="0" w:after="0"/>
        <w:jc w:val="both"/>
        <w:rPr>
          <w:sz w:val="22"/>
          <w:szCs w:val="22"/>
        </w:rPr>
      </w:pPr>
      <w:r>
        <w:rPr>
          <w:sz w:val="22"/>
          <w:szCs w:val="22"/>
        </w:rPr>
        <w:t>Again all the Illawarra Shoalhaven LGAs had a higher proportion of low income households in rental stress than the Rest of NSW average.  Kiama had the highest proportion with 83.7%, followed by Shellharbour with 83.1%, Wollongong with 81.2% and Shoalhaven with 73.8%.</w:t>
      </w:r>
    </w:p>
    <w:p w14:paraId="690A2876" w14:textId="77777777" w:rsidR="005A55F2" w:rsidRDefault="005A55F2" w:rsidP="001A69A0">
      <w:pPr>
        <w:numPr>
          <w:ilvl w:val="0"/>
          <w:numId w:val="4"/>
        </w:numPr>
        <w:spacing w:before="0" w:after="0"/>
        <w:jc w:val="both"/>
        <w:rPr>
          <w:sz w:val="22"/>
          <w:szCs w:val="22"/>
        </w:rPr>
      </w:pPr>
      <w:r>
        <w:rPr>
          <w:sz w:val="22"/>
          <w:szCs w:val="22"/>
        </w:rPr>
        <w:t xml:space="preserve">However, while the </w:t>
      </w:r>
      <w:r w:rsidRPr="00C82D07">
        <w:rPr>
          <w:b/>
          <w:sz w:val="22"/>
          <w:szCs w:val="22"/>
        </w:rPr>
        <w:t>proportion</w:t>
      </w:r>
      <w:r>
        <w:rPr>
          <w:sz w:val="22"/>
          <w:szCs w:val="22"/>
        </w:rPr>
        <w:t xml:space="preserve"> of very low and low income households in stress </w:t>
      </w:r>
      <w:r w:rsidR="003F65FD">
        <w:rPr>
          <w:sz w:val="22"/>
          <w:szCs w:val="22"/>
        </w:rPr>
        <w:t xml:space="preserve">generally </w:t>
      </w:r>
      <w:r>
        <w:rPr>
          <w:sz w:val="22"/>
          <w:szCs w:val="22"/>
        </w:rPr>
        <w:t xml:space="preserve">increased in </w:t>
      </w:r>
      <w:r w:rsidR="003F65FD">
        <w:rPr>
          <w:sz w:val="22"/>
          <w:szCs w:val="22"/>
        </w:rPr>
        <w:t xml:space="preserve">the Illawarra Shoalhaven </w:t>
      </w:r>
      <w:r>
        <w:rPr>
          <w:sz w:val="22"/>
          <w:szCs w:val="22"/>
        </w:rPr>
        <w:t xml:space="preserve">LGAs between the 2016 and 2021 Census, the actual numbers in stress tell a different story.  </w:t>
      </w:r>
    </w:p>
    <w:p w14:paraId="45BF33C3" w14:textId="77777777" w:rsidR="00EA4599" w:rsidRDefault="005A55F2" w:rsidP="007C42FA">
      <w:pPr>
        <w:numPr>
          <w:ilvl w:val="0"/>
          <w:numId w:val="4"/>
        </w:numPr>
        <w:spacing w:before="0" w:after="0"/>
        <w:jc w:val="both"/>
        <w:rPr>
          <w:sz w:val="22"/>
          <w:szCs w:val="22"/>
        </w:rPr>
      </w:pPr>
      <w:r w:rsidRPr="00EA4599">
        <w:rPr>
          <w:sz w:val="22"/>
          <w:szCs w:val="22"/>
        </w:rPr>
        <w:t xml:space="preserve">The </w:t>
      </w:r>
      <w:r w:rsidRPr="00EA4599">
        <w:rPr>
          <w:b/>
          <w:sz w:val="22"/>
          <w:szCs w:val="22"/>
        </w:rPr>
        <w:t>number</w:t>
      </w:r>
      <w:r w:rsidRPr="00EA4599">
        <w:rPr>
          <w:sz w:val="22"/>
          <w:szCs w:val="22"/>
        </w:rPr>
        <w:t xml:space="preserve"> of very low income households in stress have declined in every </w:t>
      </w:r>
      <w:r w:rsidR="00950DD2" w:rsidRPr="00EA4599">
        <w:rPr>
          <w:sz w:val="22"/>
          <w:szCs w:val="22"/>
        </w:rPr>
        <w:t xml:space="preserve">Illawarra Shoalhaven </w:t>
      </w:r>
      <w:r w:rsidRPr="00EA4599">
        <w:rPr>
          <w:sz w:val="22"/>
          <w:szCs w:val="22"/>
        </w:rPr>
        <w:t xml:space="preserve">LGA over this time frame.  </w:t>
      </w:r>
    </w:p>
    <w:p w14:paraId="5331A8E3" w14:textId="77777777" w:rsidR="005A55F2" w:rsidRPr="00EA4599" w:rsidRDefault="005A55F2" w:rsidP="007C42FA">
      <w:pPr>
        <w:numPr>
          <w:ilvl w:val="0"/>
          <w:numId w:val="4"/>
        </w:numPr>
        <w:spacing w:before="0" w:after="0"/>
        <w:jc w:val="both"/>
        <w:rPr>
          <w:sz w:val="22"/>
          <w:szCs w:val="22"/>
        </w:rPr>
      </w:pPr>
      <w:r w:rsidRPr="00EA4599">
        <w:rPr>
          <w:sz w:val="22"/>
          <w:szCs w:val="22"/>
        </w:rPr>
        <w:lastRenderedPageBreak/>
        <w:t xml:space="preserve">The picture for low income households in rental stress is the exact opposite, with numbers increasing between 2016 and 2021 in every </w:t>
      </w:r>
      <w:r w:rsidR="003F65FD" w:rsidRPr="00EA4599">
        <w:rPr>
          <w:sz w:val="22"/>
          <w:szCs w:val="22"/>
        </w:rPr>
        <w:t xml:space="preserve">Illawarra Shoalhaven </w:t>
      </w:r>
      <w:r w:rsidRPr="00EA4599">
        <w:rPr>
          <w:sz w:val="22"/>
          <w:szCs w:val="22"/>
        </w:rPr>
        <w:t>LGA</w:t>
      </w:r>
      <w:r w:rsidR="003F65FD" w:rsidRPr="00EA4599">
        <w:rPr>
          <w:sz w:val="22"/>
          <w:szCs w:val="22"/>
        </w:rPr>
        <w:t xml:space="preserve"> with the exception of Kiama</w:t>
      </w:r>
      <w:r w:rsidRPr="00EA4599">
        <w:rPr>
          <w:sz w:val="22"/>
          <w:szCs w:val="22"/>
        </w:rPr>
        <w:t xml:space="preserve">. </w:t>
      </w:r>
    </w:p>
    <w:p w14:paraId="3328FFA1" w14:textId="77777777" w:rsidR="005A55F2" w:rsidRDefault="005A55F2" w:rsidP="001A69A0">
      <w:pPr>
        <w:pStyle w:val="ListParagraph"/>
        <w:numPr>
          <w:ilvl w:val="0"/>
          <w:numId w:val="4"/>
        </w:numPr>
        <w:spacing w:before="0" w:after="0"/>
        <w:rPr>
          <w:sz w:val="22"/>
          <w:szCs w:val="22"/>
        </w:rPr>
      </w:pPr>
      <w:r>
        <w:rPr>
          <w:sz w:val="22"/>
          <w:szCs w:val="22"/>
        </w:rPr>
        <w:t xml:space="preserve">Below is a graph of the proportion of very low and low income households in rental stress in each </w:t>
      </w:r>
      <w:r w:rsidR="003F65FD">
        <w:rPr>
          <w:sz w:val="22"/>
          <w:szCs w:val="22"/>
        </w:rPr>
        <w:t xml:space="preserve">Illawarra Shoalhaven </w:t>
      </w:r>
      <w:r>
        <w:rPr>
          <w:sz w:val="22"/>
          <w:szCs w:val="22"/>
        </w:rPr>
        <w:t>LGA at 2021 and a table showing the change in the proportion of very low and low income households in stress between 2016 and 2021.</w:t>
      </w:r>
    </w:p>
    <w:p w14:paraId="46E3A44C" w14:textId="77777777" w:rsidR="005A55F2" w:rsidRPr="00EC3534" w:rsidRDefault="005A55F2" w:rsidP="00E1656E">
      <w:pPr>
        <w:jc w:val="both"/>
        <w:rPr>
          <w:sz w:val="22"/>
          <w:szCs w:val="22"/>
        </w:rPr>
      </w:pPr>
    </w:p>
    <w:p w14:paraId="2622C529" w14:textId="77777777" w:rsidR="00E1656E" w:rsidRDefault="0092238E" w:rsidP="00E1656E">
      <w:pPr>
        <w:jc w:val="both"/>
        <w:rPr>
          <w:sz w:val="20"/>
          <w:szCs w:val="20"/>
          <w:highlight w:val="yellow"/>
        </w:rPr>
      </w:pPr>
      <w:r w:rsidRPr="00976430">
        <w:rPr>
          <w:noProof/>
          <w:sz w:val="20"/>
          <w:szCs w:val="20"/>
        </w:rPr>
        <w:drawing>
          <wp:inline distT="0" distB="0" distL="0" distR="0" wp14:anchorId="6C25EAAE" wp14:editId="05A8FD24">
            <wp:extent cx="6108700" cy="3267710"/>
            <wp:effectExtent l="0" t="0" r="635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8700" cy="3267710"/>
                    </a:xfrm>
                    <a:prstGeom prst="rect">
                      <a:avLst/>
                    </a:prstGeom>
                    <a:noFill/>
                  </pic:spPr>
                </pic:pic>
              </a:graphicData>
            </a:graphic>
          </wp:inline>
        </w:drawing>
      </w:r>
    </w:p>
    <w:p w14:paraId="1EF28FA9" w14:textId="77777777" w:rsidR="00E1656E" w:rsidRDefault="00E1656E" w:rsidP="00E1656E">
      <w:pPr>
        <w:jc w:val="both"/>
        <w:rPr>
          <w:sz w:val="20"/>
          <w:szCs w:val="20"/>
        </w:rPr>
      </w:pPr>
    </w:p>
    <w:p w14:paraId="5A7E1119" w14:textId="77777777" w:rsidR="00CE0A7A" w:rsidRDefault="00D4021B" w:rsidP="00E1656E">
      <w:pPr>
        <w:jc w:val="both"/>
        <w:rPr>
          <w:sz w:val="20"/>
          <w:szCs w:val="20"/>
        </w:rPr>
      </w:pPr>
      <w:r w:rsidRPr="00D4021B">
        <w:rPr>
          <w:noProof/>
        </w:rPr>
        <w:drawing>
          <wp:inline distT="0" distB="0" distL="0" distR="0" wp14:anchorId="3F03FF28" wp14:editId="17607A66">
            <wp:extent cx="3952875" cy="24193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2875" cy="2419350"/>
                    </a:xfrm>
                    <a:prstGeom prst="rect">
                      <a:avLst/>
                    </a:prstGeom>
                    <a:noFill/>
                    <a:ln>
                      <a:noFill/>
                    </a:ln>
                  </pic:spPr>
                </pic:pic>
              </a:graphicData>
            </a:graphic>
          </wp:inline>
        </w:drawing>
      </w:r>
    </w:p>
    <w:p w14:paraId="3162C998" w14:textId="77777777" w:rsidR="00B3428E" w:rsidRDefault="00B3428E" w:rsidP="001A69A0">
      <w:pPr>
        <w:pStyle w:val="ListParagraph"/>
        <w:numPr>
          <w:ilvl w:val="0"/>
          <w:numId w:val="15"/>
        </w:numPr>
        <w:spacing w:before="0" w:after="0"/>
        <w:rPr>
          <w:sz w:val="22"/>
          <w:szCs w:val="22"/>
        </w:rPr>
      </w:pPr>
      <w:r>
        <w:rPr>
          <w:sz w:val="22"/>
          <w:szCs w:val="22"/>
        </w:rPr>
        <w:t>The next table shows the change in the number of very low and low income households in rental stress at 2016 and at 2021.</w:t>
      </w:r>
    </w:p>
    <w:p w14:paraId="35DC9A12" w14:textId="77777777" w:rsidR="00B3428E" w:rsidRDefault="00B3428E" w:rsidP="001A69A0">
      <w:pPr>
        <w:pStyle w:val="ListParagraph"/>
        <w:numPr>
          <w:ilvl w:val="0"/>
          <w:numId w:val="15"/>
        </w:numPr>
        <w:spacing w:before="0" w:after="0"/>
        <w:rPr>
          <w:sz w:val="22"/>
          <w:szCs w:val="22"/>
        </w:rPr>
      </w:pPr>
      <w:r>
        <w:rPr>
          <w:sz w:val="22"/>
          <w:szCs w:val="22"/>
        </w:rPr>
        <w:t>Again Covid has had an impact on the rental market and on tenants.</w:t>
      </w:r>
    </w:p>
    <w:p w14:paraId="6B0F73D0" w14:textId="77777777" w:rsidR="00B3428E" w:rsidRDefault="00B3428E" w:rsidP="001A69A0">
      <w:pPr>
        <w:pStyle w:val="ListParagraph"/>
        <w:numPr>
          <w:ilvl w:val="0"/>
          <w:numId w:val="15"/>
        </w:numPr>
        <w:spacing w:before="0" w:after="0"/>
        <w:rPr>
          <w:sz w:val="22"/>
          <w:szCs w:val="22"/>
        </w:rPr>
      </w:pPr>
      <w:r>
        <w:rPr>
          <w:sz w:val="22"/>
          <w:szCs w:val="22"/>
        </w:rPr>
        <w:lastRenderedPageBreak/>
        <w:t>A look at CRA (Commonwealth Rent Assistance) recipients in housing stress gives some further information on what has been happening with lower income households in rental stress over this time frame.</w:t>
      </w:r>
    </w:p>
    <w:p w14:paraId="4ADAD325" w14:textId="77777777" w:rsidR="00CE0A7A" w:rsidRPr="00B3428E" w:rsidRDefault="00CE0A7A" w:rsidP="00E1656E">
      <w:pPr>
        <w:jc w:val="both"/>
        <w:rPr>
          <w:sz w:val="22"/>
          <w:szCs w:val="22"/>
        </w:rPr>
      </w:pPr>
    </w:p>
    <w:p w14:paraId="47E31186" w14:textId="77777777" w:rsidR="00B810A6" w:rsidRDefault="003F65FD" w:rsidP="00E1656E">
      <w:pPr>
        <w:jc w:val="both"/>
        <w:rPr>
          <w:b/>
          <w:color w:val="008000"/>
          <w:sz w:val="32"/>
        </w:rPr>
      </w:pPr>
      <w:r w:rsidRPr="003F65FD">
        <w:rPr>
          <w:noProof/>
        </w:rPr>
        <w:drawing>
          <wp:inline distT="0" distB="0" distL="0" distR="0" wp14:anchorId="6B445EDD" wp14:editId="38F82CE3">
            <wp:extent cx="3952875" cy="2486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2875" cy="2486025"/>
                    </a:xfrm>
                    <a:prstGeom prst="rect">
                      <a:avLst/>
                    </a:prstGeom>
                    <a:noFill/>
                    <a:ln>
                      <a:noFill/>
                    </a:ln>
                  </pic:spPr>
                </pic:pic>
              </a:graphicData>
            </a:graphic>
          </wp:inline>
        </w:drawing>
      </w:r>
    </w:p>
    <w:p w14:paraId="6D242EC6" w14:textId="77777777" w:rsidR="00B3428E" w:rsidRDefault="00B3428E" w:rsidP="00B3428E">
      <w:pPr>
        <w:pStyle w:val="ListParagraph"/>
        <w:spacing w:before="0" w:after="0"/>
        <w:ind w:left="360"/>
        <w:rPr>
          <w:sz w:val="22"/>
          <w:szCs w:val="22"/>
        </w:rPr>
      </w:pPr>
    </w:p>
    <w:p w14:paraId="20234DC1" w14:textId="77777777" w:rsidR="00B3428E" w:rsidRDefault="00B3428E" w:rsidP="001A69A0">
      <w:pPr>
        <w:pStyle w:val="ListParagraph"/>
        <w:numPr>
          <w:ilvl w:val="0"/>
          <w:numId w:val="15"/>
        </w:numPr>
        <w:spacing w:before="0" w:after="0"/>
        <w:rPr>
          <w:sz w:val="22"/>
          <w:szCs w:val="22"/>
        </w:rPr>
      </w:pPr>
      <w:r w:rsidRPr="005B4311">
        <w:rPr>
          <w:sz w:val="22"/>
          <w:szCs w:val="22"/>
        </w:rPr>
        <w:t>In line with</w:t>
      </w:r>
      <w:r>
        <w:rPr>
          <w:sz w:val="22"/>
          <w:szCs w:val="22"/>
        </w:rPr>
        <w:t xml:space="preserve"> other parts of NSW, between 2016 and 2020, the total number of CRA recipients in the Illawarra Shoalhaven increased significantly, while the number in stress actually declined.  However, between 2020 and 2021 the number of CRA recipients declined while the number in stress increased.</w:t>
      </w:r>
    </w:p>
    <w:p w14:paraId="056AA747" w14:textId="77777777" w:rsidR="00B3428E" w:rsidRPr="00C36285" w:rsidRDefault="00B3428E" w:rsidP="001A69A0">
      <w:pPr>
        <w:pStyle w:val="ListParagraph"/>
        <w:numPr>
          <w:ilvl w:val="0"/>
          <w:numId w:val="15"/>
        </w:numPr>
        <w:rPr>
          <w:sz w:val="22"/>
          <w:szCs w:val="22"/>
        </w:rPr>
      </w:pPr>
      <w:r w:rsidRPr="00C36285">
        <w:rPr>
          <w:sz w:val="22"/>
          <w:szCs w:val="22"/>
        </w:rPr>
        <w:t xml:space="preserve">The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67A0112D" w14:textId="77777777" w:rsidR="00B3428E" w:rsidRDefault="00B3428E" w:rsidP="001A69A0">
      <w:pPr>
        <w:pStyle w:val="ListParagraph"/>
        <w:numPr>
          <w:ilvl w:val="0"/>
          <w:numId w:val="15"/>
        </w:numPr>
        <w:spacing w:before="0" w:after="0"/>
        <w:rPr>
          <w:sz w:val="22"/>
          <w:szCs w:val="22"/>
        </w:rPr>
      </w:pPr>
      <w:r>
        <w:rPr>
          <w:sz w:val="22"/>
          <w:szCs w:val="22"/>
        </w:rPr>
        <w:t xml:space="preserve">The </w:t>
      </w:r>
      <w:r w:rsidRPr="00C36285">
        <w:rPr>
          <w:sz w:val="22"/>
          <w:szCs w:val="22"/>
        </w:rPr>
        <w:t>Coronavirus Supplement was $550 per fortnight for new and existing recipients of JobSeeker Payment, Parenting Payment, Youth Allowance for jobseekers, Farm Household Allowance and Special Benefit. The temporary supplement almost doubled the maximum payment rate for a JobSeeker Payment recipient. Hence it made rent more affordable for some CRA recipients in June 2020 and resulted in a lower proportion of CRA recipients in rental stress than usual</w:t>
      </w:r>
      <w:r>
        <w:rPr>
          <w:sz w:val="22"/>
          <w:szCs w:val="22"/>
        </w:rPr>
        <w:t>.</w:t>
      </w:r>
    </w:p>
    <w:p w14:paraId="02BFE902" w14:textId="77777777" w:rsidR="00B3428E" w:rsidRDefault="00B3428E" w:rsidP="001A69A0">
      <w:pPr>
        <w:pStyle w:val="ListParagraph"/>
        <w:numPr>
          <w:ilvl w:val="0"/>
          <w:numId w:val="15"/>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175A964B" w14:textId="77777777" w:rsidR="00B3428E" w:rsidRDefault="00B3428E" w:rsidP="001A69A0">
      <w:pPr>
        <w:pStyle w:val="ListParagraph"/>
        <w:numPr>
          <w:ilvl w:val="0"/>
          <w:numId w:val="15"/>
        </w:numPr>
        <w:spacing w:before="0" w:after="0"/>
        <w:rPr>
          <w:sz w:val="22"/>
          <w:szCs w:val="22"/>
        </w:rPr>
      </w:pPr>
      <w:r>
        <w:rPr>
          <w:sz w:val="22"/>
          <w:szCs w:val="22"/>
        </w:rPr>
        <w:t>The two graphs below clearly demonstrate this experience in the Illawarra Shoalhaven.</w:t>
      </w:r>
    </w:p>
    <w:p w14:paraId="0944874E" w14:textId="77777777" w:rsidR="007B23C0" w:rsidRDefault="00B3428E" w:rsidP="00E1656E">
      <w:pPr>
        <w:jc w:val="both"/>
        <w:rPr>
          <w:b/>
          <w:color w:val="008000"/>
          <w:sz w:val="32"/>
        </w:rPr>
      </w:pPr>
      <w:r>
        <w:rPr>
          <w:b/>
          <w:noProof/>
          <w:color w:val="008000"/>
          <w:sz w:val="32"/>
        </w:rPr>
        <w:lastRenderedPageBreak/>
        <w:drawing>
          <wp:inline distT="0" distB="0" distL="0" distR="0" wp14:anchorId="23DEC9D2" wp14:editId="34F15076">
            <wp:extent cx="5541645" cy="3133725"/>
            <wp:effectExtent l="0" t="0" r="190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1645" cy="3133725"/>
                    </a:xfrm>
                    <a:prstGeom prst="rect">
                      <a:avLst/>
                    </a:prstGeom>
                    <a:noFill/>
                  </pic:spPr>
                </pic:pic>
              </a:graphicData>
            </a:graphic>
          </wp:inline>
        </w:drawing>
      </w:r>
    </w:p>
    <w:p w14:paraId="25076D77" w14:textId="77777777" w:rsidR="00B3428E" w:rsidRDefault="00B3428E" w:rsidP="00E1656E">
      <w:pPr>
        <w:jc w:val="both"/>
        <w:rPr>
          <w:b/>
          <w:color w:val="008000"/>
          <w:sz w:val="32"/>
        </w:rPr>
      </w:pPr>
      <w:r>
        <w:rPr>
          <w:noProof/>
        </w:rPr>
        <w:drawing>
          <wp:inline distT="0" distB="0" distL="0" distR="0" wp14:anchorId="28A88A2C" wp14:editId="64C98283">
            <wp:extent cx="5505450" cy="298132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FF3590" w14:textId="77777777" w:rsidR="00701B41" w:rsidRPr="007D3CF8" w:rsidRDefault="00701B41" w:rsidP="001A69A0">
      <w:pPr>
        <w:numPr>
          <w:ilvl w:val="0"/>
          <w:numId w:val="16"/>
        </w:numPr>
        <w:spacing w:before="0" w:after="0"/>
        <w:rPr>
          <w:sz w:val="22"/>
          <w:szCs w:val="22"/>
        </w:rPr>
      </w:pPr>
      <w:r w:rsidRPr="007D3CF8">
        <w:rPr>
          <w:sz w:val="22"/>
          <w:szCs w:val="22"/>
        </w:rPr>
        <w:t xml:space="preserve">The table below shows the number and proportion of tenants in the </w:t>
      </w:r>
      <w:r w:rsidR="00F1734C">
        <w:rPr>
          <w:sz w:val="22"/>
          <w:szCs w:val="22"/>
        </w:rPr>
        <w:t>Illawarra Shoalhaven</w:t>
      </w:r>
      <w:r>
        <w:rPr>
          <w:sz w:val="22"/>
          <w:szCs w:val="22"/>
        </w:rPr>
        <w:t xml:space="preserve"> </w:t>
      </w:r>
      <w:r w:rsidRPr="007D3CF8">
        <w:rPr>
          <w:sz w:val="22"/>
          <w:szCs w:val="22"/>
        </w:rPr>
        <w:t xml:space="preserve">region who are in the private rental market, are in receipt of Commonwealth Rent Assistance, and even with this additional income support, are in housing stress.  </w:t>
      </w:r>
    </w:p>
    <w:p w14:paraId="61B6AC27" w14:textId="77777777" w:rsidR="00701B41" w:rsidRDefault="00701B41" w:rsidP="001A69A0">
      <w:pPr>
        <w:numPr>
          <w:ilvl w:val="0"/>
          <w:numId w:val="16"/>
        </w:numPr>
        <w:spacing w:before="0" w:after="0"/>
        <w:rPr>
          <w:sz w:val="22"/>
          <w:szCs w:val="22"/>
        </w:rPr>
      </w:pPr>
      <w:r w:rsidRPr="007D3CF8">
        <w:rPr>
          <w:sz w:val="22"/>
          <w:szCs w:val="22"/>
        </w:rPr>
        <w:t xml:space="preserve">There were a total of </w:t>
      </w:r>
      <w:r w:rsidR="00A369BD">
        <w:rPr>
          <w:sz w:val="22"/>
          <w:szCs w:val="22"/>
        </w:rPr>
        <w:t>13,060</w:t>
      </w:r>
      <w:r>
        <w:rPr>
          <w:sz w:val="22"/>
          <w:szCs w:val="22"/>
        </w:rPr>
        <w:t xml:space="preserve"> </w:t>
      </w:r>
      <w:r w:rsidRPr="007D3CF8">
        <w:rPr>
          <w:sz w:val="22"/>
          <w:szCs w:val="22"/>
        </w:rPr>
        <w:t xml:space="preserve">tenants in receipt of CRA and in housing stress across the region in 2021, up from </w:t>
      </w:r>
      <w:r w:rsidR="00A369BD">
        <w:rPr>
          <w:sz w:val="22"/>
          <w:szCs w:val="22"/>
        </w:rPr>
        <w:t xml:space="preserve">10,723 </w:t>
      </w:r>
      <w:r w:rsidRPr="007D3CF8">
        <w:rPr>
          <w:sz w:val="22"/>
          <w:szCs w:val="22"/>
        </w:rPr>
        <w:t xml:space="preserve">in 2016. </w:t>
      </w:r>
      <w:r>
        <w:rPr>
          <w:sz w:val="22"/>
          <w:szCs w:val="22"/>
        </w:rPr>
        <w:t xml:space="preserve"> In 2016, </w:t>
      </w:r>
      <w:r w:rsidR="00A369BD">
        <w:rPr>
          <w:sz w:val="22"/>
          <w:szCs w:val="22"/>
        </w:rPr>
        <w:t>40.9</w:t>
      </w:r>
      <w:r>
        <w:rPr>
          <w:sz w:val="22"/>
          <w:szCs w:val="22"/>
        </w:rPr>
        <w:t xml:space="preserve">% of CRA recipients in the </w:t>
      </w:r>
      <w:r w:rsidR="00A369BD">
        <w:rPr>
          <w:sz w:val="22"/>
          <w:szCs w:val="22"/>
        </w:rPr>
        <w:t>Illawarra Shoalhaven</w:t>
      </w:r>
      <w:r>
        <w:rPr>
          <w:sz w:val="22"/>
          <w:szCs w:val="22"/>
        </w:rPr>
        <w:t xml:space="preserve"> were in stress, increasing to 4</w:t>
      </w:r>
      <w:r w:rsidR="00A369BD">
        <w:rPr>
          <w:sz w:val="22"/>
          <w:szCs w:val="22"/>
        </w:rPr>
        <w:t>6.5</w:t>
      </w:r>
      <w:r>
        <w:rPr>
          <w:sz w:val="22"/>
          <w:szCs w:val="22"/>
        </w:rPr>
        <w:t>% in 2021.  This compares to 35.1% CRA recipients in stress in 2016 for the Rest of NSW and 39.2% in 2021.</w:t>
      </w:r>
    </w:p>
    <w:p w14:paraId="37F74203" w14:textId="77777777" w:rsidR="00701B41" w:rsidRDefault="00701B41" w:rsidP="001A69A0">
      <w:pPr>
        <w:numPr>
          <w:ilvl w:val="0"/>
          <w:numId w:val="16"/>
        </w:numPr>
        <w:spacing w:before="0" w:after="0"/>
        <w:rPr>
          <w:sz w:val="22"/>
          <w:szCs w:val="22"/>
        </w:rPr>
      </w:pPr>
      <w:r>
        <w:rPr>
          <w:sz w:val="22"/>
          <w:szCs w:val="22"/>
        </w:rPr>
        <w:t xml:space="preserve">Like the Rest of NSW, the </w:t>
      </w:r>
      <w:r w:rsidR="009A452F">
        <w:rPr>
          <w:sz w:val="22"/>
          <w:szCs w:val="22"/>
        </w:rPr>
        <w:t>Illawarra Shoalhaven</w:t>
      </w:r>
      <w:r w:rsidRPr="007D3CF8">
        <w:rPr>
          <w:sz w:val="22"/>
          <w:szCs w:val="22"/>
        </w:rPr>
        <w:t xml:space="preserve"> is</w:t>
      </w:r>
      <w:r>
        <w:rPr>
          <w:sz w:val="22"/>
          <w:szCs w:val="22"/>
        </w:rPr>
        <w:t xml:space="preserve"> becoming increasingly unaffordable for lower income tenants</w:t>
      </w:r>
      <w:r w:rsidRPr="007D3CF8">
        <w:rPr>
          <w:sz w:val="22"/>
          <w:szCs w:val="22"/>
        </w:rPr>
        <w:t>.</w:t>
      </w:r>
    </w:p>
    <w:p w14:paraId="23AC51DF" w14:textId="77777777" w:rsidR="009A452F" w:rsidRDefault="00701B41" w:rsidP="001A69A0">
      <w:pPr>
        <w:numPr>
          <w:ilvl w:val="0"/>
          <w:numId w:val="16"/>
        </w:numPr>
        <w:spacing w:before="0" w:after="0"/>
        <w:rPr>
          <w:sz w:val="22"/>
          <w:szCs w:val="22"/>
        </w:rPr>
      </w:pPr>
      <w:r>
        <w:rPr>
          <w:sz w:val="22"/>
          <w:szCs w:val="22"/>
        </w:rPr>
        <w:lastRenderedPageBreak/>
        <w:t xml:space="preserve">There are three local government areas in the region with a higher proportion </w:t>
      </w:r>
      <w:r w:rsidR="009A452F">
        <w:rPr>
          <w:sz w:val="22"/>
          <w:szCs w:val="22"/>
        </w:rPr>
        <w:t xml:space="preserve">of CRA recipients </w:t>
      </w:r>
      <w:r>
        <w:rPr>
          <w:sz w:val="22"/>
          <w:szCs w:val="22"/>
        </w:rPr>
        <w:t xml:space="preserve">in stress than the Rest of NSW – </w:t>
      </w:r>
      <w:r w:rsidR="009A452F">
        <w:rPr>
          <w:sz w:val="22"/>
          <w:szCs w:val="22"/>
        </w:rPr>
        <w:t xml:space="preserve">Wollongong </w:t>
      </w:r>
      <w:r>
        <w:rPr>
          <w:sz w:val="22"/>
          <w:szCs w:val="22"/>
        </w:rPr>
        <w:t xml:space="preserve">has the highest with a </w:t>
      </w:r>
      <w:r w:rsidR="009A452F">
        <w:rPr>
          <w:sz w:val="22"/>
          <w:szCs w:val="22"/>
        </w:rPr>
        <w:t>significant</w:t>
      </w:r>
      <w:r>
        <w:rPr>
          <w:sz w:val="22"/>
          <w:szCs w:val="22"/>
        </w:rPr>
        <w:t xml:space="preserve"> 5</w:t>
      </w:r>
      <w:r w:rsidR="009A452F">
        <w:rPr>
          <w:sz w:val="22"/>
          <w:szCs w:val="22"/>
        </w:rPr>
        <w:t>3.7</w:t>
      </w:r>
      <w:r>
        <w:rPr>
          <w:sz w:val="22"/>
          <w:szCs w:val="22"/>
        </w:rPr>
        <w:t>%, followed by</w:t>
      </w:r>
      <w:r w:rsidR="009A452F">
        <w:rPr>
          <w:sz w:val="22"/>
          <w:szCs w:val="22"/>
        </w:rPr>
        <w:t xml:space="preserve"> Kiama with 50.4% and</w:t>
      </w:r>
      <w:r>
        <w:rPr>
          <w:sz w:val="22"/>
          <w:szCs w:val="22"/>
        </w:rPr>
        <w:t xml:space="preserve"> </w:t>
      </w:r>
      <w:r w:rsidR="009A452F">
        <w:rPr>
          <w:sz w:val="22"/>
          <w:szCs w:val="22"/>
        </w:rPr>
        <w:t>Shellharbour</w:t>
      </w:r>
      <w:r>
        <w:rPr>
          <w:sz w:val="22"/>
          <w:szCs w:val="22"/>
        </w:rPr>
        <w:t xml:space="preserve"> with 4</w:t>
      </w:r>
      <w:r w:rsidR="009A452F">
        <w:rPr>
          <w:sz w:val="22"/>
          <w:szCs w:val="22"/>
        </w:rPr>
        <w:t>8.0</w:t>
      </w:r>
      <w:r>
        <w:rPr>
          <w:sz w:val="22"/>
          <w:szCs w:val="22"/>
        </w:rPr>
        <w:t xml:space="preserve">%. </w:t>
      </w:r>
      <w:r w:rsidR="009A452F">
        <w:rPr>
          <w:sz w:val="22"/>
          <w:szCs w:val="22"/>
        </w:rPr>
        <w:t xml:space="preserve"> </w:t>
      </w:r>
    </w:p>
    <w:p w14:paraId="24CD9741" w14:textId="77777777" w:rsidR="00701B41" w:rsidRDefault="009A452F" w:rsidP="001A69A0">
      <w:pPr>
        <w:numPr>
          <w:ilvl w:val="0"/>
          <w:numId w:val="16"/>
        </w:numPr>
        <w:spacing w:before="0" w:after="0"/>
        <w:rPr>
          <w:sz w:val="22"/>
          <w:szCs w:val="22"/>
        </w:rPr>
      </w:pPr>
      <w:r>
        <w:rPr>
          <w:sz w:val="22"/>
          <w:szCs w:val="22"/>
        </w:rPr>
        <w:t>While Shoalhaven has historically been more affordable for rental than other parts of the region, this LGA is becoming increasingly unaffordable.  This is indicated by significant recent declines in the proportion of new bonds lodged which are affordable for lower income households.</w:t>
      </w:r>
      <w:r w:rsidR="00701B41">
        <w:rPr>
          <w:sz w:val="22"/>
          <w:szCs w:val="22"/>
        </w:rPr>
        <w:t xml:space="preserve"> .</w:t>
      </w:r>
    </w:p>
    <w:p w14:paraId="7E3057C6" w14:textId="77777777" w:rsidR="00701B41" w:rsidRPr="007D3CF8" w:rsidRDefault="00701B41" w:rsidP="00701B41">
      <w:pPr>
        <w:spacing w:before="0" w:after="0"/>
        <w:ind w:left="360"/>
        <w:rPr>
          <w:sz w:val="22"/>
          <w:szCs w:val="22"/>
        </w:rPr>
      </w:pPr>
    </w:p>
    <w:p w14:paraId="1FA44BDB" w14:textId="77777777" w:rsidR="00B3428E" w:rsidRDefault="00701B41" w:rsidP="00E1656E">
      <w:pPr>
        <w:jc w:val="both"/>
        <w:rPr>
          <w:b/>
          <w:color w:val="008000"/>
          <w:sz w:val="32"/>
        </w:rPr>
      </w:pPr>
      <w:r w:rsidRPr="00701B41">
        <w:rPr>
          <w:noProof/>
        </w:rPr>
        <w:drawing>
          <wp:inline distT="0" distB="0" distL="0" distR="0" wp14:anchorId="21A0D533" wp14:editId="321FD7CD">
            <wp:extent cx="3343275" cy="2066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2066925"/>
                    </a:xfrm>
                    <a:prstGeom prst="rect">
                      <a:avLst/>
                    </a:prstGeom>
                    <a:noFill/>
                    <a:ln>
                      <a:noFill/>
                    </a:ln>
                  </pic:spPr>
                </pic:pic>
              </a:graphicData>
            </a:graphic>
          </wp:inline>
        </w:drawing>
      </w:r>
    </w:p>
    <w:p w14:paraId="7CFECD06" w14:textId="77777777" w:rsidR="00701B41" w:rsidRDefault="00701B41" w:rsidP="00E1656E">
      <w:pPr>
        <w:jc w:val="both"/>
        <w:rPr>
          <w:b/>
          <w:color w:val="008000"/>
          <w:sz w:val="32"/>
        </w:rPr>
      </w:pPr>
    </w:p>
    <w:p w14:paraId="560C4F6C" w14:textId="77777777" w:rsidR="00701B41" w:rsidRDefault="00701B41" w:rsidP="00E1656E">
      <w:pPr>
        <w:jc w:val="both"/>
        <w:rPr>
          <w:b/>
          <w:color w:val="008000"/>
          <w:sz w:val="32"/>
        </w:rPr>
      </w:pPr>
    </w:p>
    <w:p w14:paraId="314FBFF9" w14:textId="77777777" w:rsidR="00E1656E" w:rsidRPr="00E7028F" w:rsidRDefault="00E1656E" w:rsidP="00E1656E">
      <w:pPr>
        <w:jc w:val="both"/>
        <w:rPr>
          <w:b/>
          <w:color w:val="008000"/>
          <w:sz w:val="32"/>
        </w:rPr>
      </w:pPr>
      <w:r w:rsidRPr="00E7028F">
        <w:rPr>
          <w:b/>
          <w:color w:val="008000"/>
          <w:sz w:val="32"/>
        </w:rPr>
        <w:t>Loss of Affordable Housing Stock</w:t>
      </w:r>
    </w:p>
    <w:p w14:paraId="5B846FD9" w14:textId="77777777" w:rsidR="000E2512" w:rsidRPr="00EC3534" w:rsidRDefault="000E2512" w:rsidP="001A69A0">
      <w:pPr>
        <w:numPr>
          <w:ilvl w:val="0"/>
          <w:numId w:val="5"/>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Pr>
          <w:sz w:val="22"/>
          <w:szCs w:val="22"/>
        </w:rPr>
        <w:t xml:space="preserve">the Illawarra Shoalhaven </w:t>
      </w:r>
      <w:r w:rsidRPr="00EC3534">
        <w:rPr>
          <w:sz w:val="22"/>
          <w:szCs w:val="22"/>
        </w:rPr>
        <w:t>in 2017</w:t>
      </w:r>
      <w:r>
        <w:rPr>
          <w:sz w:val="22"/>
          <w:szCs w:val="22"/>
        </w:rPr>
        <w:t>, 2021 and 2022</w:t>
      </w:r>
      <w:r w:rsidRPr="00EC3534">
        <w:rPr>
          <w:sz w:val="22"/>
          <w:szCs w:val="22"/>
        </w:rPr>
        <w:t xml:space="preserve">.  </w:t>
      </w:r>
      <w:r>
        <w:rPr>
          <w:sz w:val="22"/>
          <w:szCs w:val="22"/>
        </w:rPr>
        <w:t xml:space="preserve">The region </w:t>
      </w:r>
      <w:r w:rsidRPr="00EC3534">
        <w:rPr>
          <w:sz w:val="22"/>
          <w:szCs w:val="22"/>
        </w:rPr>
        <w:t>experienced a significant decline in affordable bonds lodged, and consequently loss of affordable housing between 20</w:t>
      </w:r>
      <w:r w:rsidR="00C47307">
        <w:rPr>
          <w:sz w:val="22"/>
          <w:szCs w:val="22"/>
        </w:rPr>
        <w:t>17</w:t>
      </w:r>
      <w:r w:rsidRPr="00EC3534">
        <w:rPr>
          <w:sz w:val="22"/>
          <w:szCs w:val="22"/>
        </w:rPr>
        <w:t xml:space="preserve"> and 20</w:t>
      </w:r>
      <w:r>
        <w:rPr>
          <w:sz w:val="22"/>
          <w:szCs w:val="22"/>
        </w:rPr>
        <w:t>22</w:t>
      </w:r>
      <w:r w:rsidRPr="00EC3534">
        <w:rPr>
          <w:sz w:val="22"/>
          <w:szCs w:val="22"/>
        </w:rPr>
        <w:t xml:space="preserve"> –representing a los</w:t>
      </w:r>
      <w:r>
        <w:rPr>
          <w:sz w:val="22"/>
          <w:szCs w:val="22"/>
        </w:rPr>
        <w:t xml:space="preserve">s of </w:t>
      </w:r>
      <w:r w:rsidR="00C47307">
        <w:rPr>
          <w:sz w:val="22"/>
          <w:szCs w:val="22"/>
        </w:rPr>
        <w:t>20.8</w:t>
      </w:r>
      <w:r>
        <w:rPr>
          <w:sz w:val="22"/>
          <w:szCs w:val="22"/>
        </w:rPr>
        <w:t>% of affordable stock</w:t>
      </w:r>
      <w:r w:rsidR="00C47307">
        <w:rPr>
          <w:sz w:val="22"/>
          <w:szCs w:val="22"/>
        </w:rPr>
        <w:t>, mostly in Shoalhaven</w:t>
      </w:r>
      <w:r w:rsidRPr="00EC3534">
        <w:rPr>
          <w:sz w:val="22"/>
          <w:szCs w:val="22"/>
        </w:rPr>
        <w:t xml:space="preserve">.   </w:t>
      </w:r>
    </w:p>
    <w:p w14:paraId="02C3C11C" w14:textId="77777777" w:rsidR="000E2512" w:rsidRPr="005A20CD" w:rsidRDefault="000E2512" w:rsidP="001A69A0">
      <w:pPr>
        <w:numPr>
          <w:ilvl w:val="0"/>
          <w:numId w:val="5"/>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 2017</w:t>
      </w:r>
      <w:r>
        <w:rPr>
          <w:sz w:val="22"/>
          <w:szCs w:val="22"/>
        </w:rPr>
        <w:t>, 2021 and 2022</w:t>
      </w:r>
      <w:r w:rsidRPr="003B6984">
        <w:rPr>
          <w:sz w:val="22"/>
          <w:szCs w:val="22"/>
        </w:rPr>
        <w:t xml:space="preserve"> in</w:t>
      </w:r>
      <w:r>
        <w:rPr>
          <w:sz w:val="22"/>
          <w:szCs w:val="22"/>
        </w:rPr>
        <w:t xml:space="preserve"> each of the </w:t>
      </w:r>
      <w:r w:rsidR="001C2BF8">
        <w:rPr>
          <w:sz w:val="22"/>
          <w:szCs w:val="22"/>
        </w:rPr>
        <w:t>Illawarra Shoalhaven</w:t>
      </w:r>
      <w:r>
        <w:rPr>
          <w:sz w:val="22"/>
          <w:szCs w:val="22"/>
        </w:rPr>
        <w:t xml:space="preserve"> LGAs as well as the total for the Region</w:t>
      </w:r>
      <w:r w:rsidRPr="003B6984">
        <w:rPr>
          <w:sz w:val="22"/>
          <w:szCs w:val="22"/>
        </w:rPr>
        <w:t>.</w:t>
      </w:r>
    </w:p>
    <w:p w14:paraId="2AD40A84" w14:textId="77777777" w:rsidR="00A50876" w:rsidRPr="00691AEC" w:rsidRDefault="00C47307" w:rsidP="001A69A0">
      <w:pPr>
        <w:numPr>
          <w:ilvl w:val="0"/>
          <w:numId w:val="5"/>
        </w:numPr>
        <w:spacing w:before="0" w:after="0"/>
        <w:jc w:val="both"/>
        <w:rPr>
          <w:sz w:val="20"/>
          <w:szCs w:val="20"/>
        </w:rPr>
      </w:pPr>
      <w:r>
        <w:rPr>
          <w:sz w:val="22"/>
          <w:szCs w:val="22"/>
        </w:rPr>
        <w:t>Note that while there has been some variability (rises and falls) in the number of new bonds lodged which are affordable to low income households in these LGAs, there are remarkably few affordable private rentals – particularly in Kiama and Shellharbour and the loss in Shoalhaven has been significant.</w:t>
      </w:r>
    </w:p>
    <w:p w14:paraId="23A43E67" w14:textId="77777777" w:rsidR="00BA5E26" w:rsidRPr="00A50876" w:rsidRDefault="00BA5E26" w:rsidP="00E1656E">
      <w:pPr>
        <w:jc w:val="both"/>
        <w:rPr>
          <w:b/>
          <w:sz w:val="20"/>
          <w:szCs w:val="20"/>
        </w:rPr>
      </w:pPr>
    </w:p>
    <w:p w14:paraId="6EFAB4BB" w14:textId="77777777" w:rsidR="00BA5E26" w:rsidRDefault="00BA5E26" w:rsidP="00E1656E">
      <w:pPr>
        <w:jc w:val="both"/>
        <w:rPr>
          <w:b/>
          <w:sz w:val="20"/>
          <w:szCs w:val="20"/>
        </w:rPr>
      </w:pPr>
    </w:p>
    <w:p w14:paraId="22F4566F" w14:textId="77777777" w:rsidR="00C47307" w:rsidRDefault="00C47307" w:rsidP="00E1656E">
      <w:pPr>
        <w:jc w:val="both"/>
        <w:rPr>
          <w:b/>
          <w:sz w:val="20"/>
          <w:szCs w:val="20"/>
        </w:rPr>
      </w:pPr>
    </w:p>
    <w:p w14:paraId="12A49467" w14:textId="77777777" w:rsidR="00C47307" w:rsidRDefault="00C47307" w:rsidP="00E1656E">
      <w:pPr>
        <w:jc w:val="both"/>
        <w:rPr>
          <w:b/>
          <w:sz w:val="20"/>
          <w:szCs w:val="20"/>
        </w:rPr>
      </w:pPr>
    </w:p>
    <w:p w14:paraId="4EDDF01C" w14:textId="77777777" w:rsidR="00C47307" w:rsidRPr="00A50876" w:rsidRDefault="00C47307" w:rsidP="00E1656E">
      <w:pPr>
        <w:jc w:val="both"/>
        <w:rPr>
          <w:b/>
          <w:sz w:val="20"/>
          <w:szCs w:val="20"/>
        </w:rPr>
      </w:pPr>
    </w:p>
    <w:p w14:paraId="335140F5" w14:textId="77777777" w:rsidR="00BA5E26" w:rsidRPr="00A50876" w:rsidRDefault="00BA5E26" w:rsidP="00E1656E">
      <w:pPr>
        <w:jc w:val="both"/>
        <w:rPr>
          <w:b/>
          <w:sz w:val="20"/>
          <w:szCs w:val="20"/>
        </w:rPr>
      </w:pPr>
    </w:p>
    <w:p w14:paraId="4F35C83A" w14:textId="77777777" w:rsidR="00E4193C" w:rsidRPr="00E4193C" w:rsidRDefault="00E4193C" w:rsidP="00E1656E">
      <w:pPr>
        <w:jc w:val="both"/>
        <w:rPr>
          <w:b/>
          <w:sz w:val="20"/>
          <w:szCs w:val="20"/>
        </w:rPr>
      </w:pPr>
      <w:r w:rsidRPr="00E4193C">
        <w:rPr>
          <w:b/>
          <w:sz w:val="20"/>
          <w:szCs w:val="20"/>
        </w:rPr>
        <w:lastRenderedPageBreak/>
        <w:t>Number of new bonds lodged affordable to low income households</w:t>
      </w:r>
    </w:p>
    <w:p w14:paraId="5D4F2F03" w14:textId="77777777" w:rsidR="00E1656E" w:rsidRDefault="00D87161" w:rsidP="00E1656E">
      <w:pPr>
        <w:jc w:val="both"/>
        <w:rPr>
          <w:sz w:val="20"/>
          <w:szCs w:val="20"/>
          <w:highlight w:val="yellow"/>
        </w:rPr>
      </w:pPr>
      <w:r w:rsidRPr="00D87161">
        <w:rPr>
          <w:noProof/>
        </w:rPr>
        <w:drawing>
          <wp:inline distT="0" distB="0" distL="0" distR="0" wp14:anchorId="0AA697E3" wp14:editId="341D8CB9">
            <wp:extent cx="4038600" cy="1724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8600" cy="1724025"/>
                    </a:xfrm>
                    <a:prstGeom prst="rect">
                      <a:avLst/>
                    </a:prstGeom>
                    <a:noFill/>
                    <a:ln>
                      <a:noFill/>
                    </a:ln>
                  </pic:spPr>
                </pic:pic>
              </a:graphicData>
            </a:graphic>
          </wp:inline>
        </w:drawing>
      </w:r>
    </w:p>
    <w:p w14:paraId="41CB6D0B" w14:textId="77777777" w:rsidR="00F22079" w:rsidRDefault="00F22079" w:rsidP="00E1656E">
      <w:pPr>
        <w:jc w:val="both"/>
        <w:rPr>
          <w:sz w:val="20"/>
          <w:szCs w:val="20"/>
          <w:highlight w:val="yellow"/>
        </w:rPr>
      </w:pPr>
    </w:p>
    <w:p w14:paraId="34230880" w14:textId="77777777" w:rsidR="001C2BF8" w:rsidRDefault="001C2BF8" w:rsidP="00E1656E">
      <w:pPr>
        <w:jc w:val="both"/>
        <w:rPr>
          <w:sz w:val="20"/>
          <w:szCs w:val="20"/>
          <w:highlight w:val="yellow"/>
        </w:rPr>
      </w:pPr>
    </w:p>
    <w:p w14:paraId="3F09F79C" w14:textId="77777777" w:rsidR="001C2BF8" w:rsidRPr="007710BF" w:rsidRDefault="001C2BF8" w:rsidP="00E1656E">
      <w:pPr>
        <w:jc w:val="both"/>
        <w:rPr>
          <w:sz w:val="20"/>
          <w:szCs w:val="20"/>
          <w:highlight w:val="yellow"/>
        </w:rPr>
      </w:pPr>
    </w:p>
    <w:p w14:paraId="7C6CDEBB" w14:textId="77777777" w:rsidR="00E1656E" w:rsidRPr="00FC4560" w:rsidRDefault="00E1656E" w:rsidP="00E1656E">
      <w:pPr>
        <w:pStyle w:val="Heading1"/>
        <w:jc w:val="both"/>
        <w:rPr>
          <w:b/>
          <w:i/>
          <w:iCs/>
          <w:color w:val="008000"/>
          <w:kern w:val="0"/>
          <w:sz w:val="32"/>
        </w:rPr>
      </w:pPr>
      <w:r w:rsidRPr="00FC4560">
        <w:rPr>
          <w:b/>
          <w:i/>
          <w:iCs/>
          <w:color w:val="008000"/>
          <w:kern w:val="0"/>
          <w:sz w:val="32"/>
        </w:rPr>
        <w:t>Housing Market - Purchase</w:t>
      </w:r>
    </w:p>
    <w:p w14:paraId="77A99B93" w14:textId="77777777" w:rsidR="00E1656E" w:rsidRPr="00670593" w:rsidRDefault="00E1656E" w:rsidP="00E1656E">
      <w:pPr>
        <w:jc w:val="both"/>
        <w:rPr>
          <w:sz w:val="20"/>
          <w:szCs w:val="20"/>
        </w:rPr>
      </w:pPr>
    </w:p>
    <w:p w14:paraId="40C2491E" w14:textId="77777777" w:rsidR="00E1656E" w:rsidRDefault="00E1656E" w:rsidP="00E1656E">
      <w:pPr>
        <w:jc w:val="both"/>
        <w:rPr>
          <w:sz w:val="20"/>
          <w:szCs w:val="20"/>
        </w:rPr>
      </w:pPr>
      <w:r w:rsidRPr="003C6C13">
        <w:rPr>
          <w:b/>
          <w:color w:val="008000"/>
          <w:sz w:val="32"/>
        </w:rPr>
        <w:t>Sales Price</w:t>
      </w:r>
    </w:p>
    <w:p w14:paraId="787BE155" w14:textId="77777777" w:rsidR="00DA168E" w:rsidRPr="00885A40" w:rsidRDefault="00DA168E" w:rsidP="001A69A0">
      <w:pPr>
        <w:numPr>
          <w:ilvl w:val="0"/>
          <w:numId w:val="10"/>
        </w:numPr>
        <w:spacing w:before="0" w:after="0"/>
        <w:rPr>
          <w:sz w:val="22"/>
          <w:szCs w:val="22"/>
        </w:rPr>
      </w:pPr>
      <w:r>
        <w:rPr>
          <w:sz w:val="22"/>
          <w:szCs w:val="22"/>
        </w:rPr>
        <w:t>T</w:t>
      </w:r>
      <w:r w:rsidRPr="00885A40">
        <w:rPr>
          <w:sz w:val="22"/>
          <w:szCs w:val="22"/>
        </w:rPr>
        <w:t xml:space="preserve">he median sales price of both houses and flats </w:t>
      </w:r>
      <w:r>
        <w:rPr>
          <w:sz w:val="22"/>
          <w:szCs w:val="22"/>
        </w:rPr>
        <w:t xml:space="preserve">in the Illawarra Shoalhaven </w:t>
      </w:r>
      <w:r w:rsidRPr="00885A40">
        <w:rPr>
          <w:sz w:val="22"/>
          <w:szCs w:val="22"/>
        </w:rPr>
        <w:t>over the ten years to March 2022 have</w:t>
      </w:r>
      <w:r>
        <w:rPr>
          <w:sz w:val="22"/>
          <w:szCs w:val="22"/>
        </w:rPr>
        <w:t xml:space="preserve"> shown strong increases</w:t>
      </w:r>
      <w:r w:rsidRPr="00885A40">
        <w:rPr>
          <w:sz w:val="22"/>
          <w:szCs w:val="22"/>
        </w:rPr>
        <w:t xml:space="preserve">.  </w:t>
      </w:r>
    </w:p>
    <w:p w14:paraId="43806720" w14:textId="77777777" w:rsidR="00DA168E" w:rsidRPr="00885A40" w:rsidRDefault="00B258C9" w:rsidP="001A69A0">
      <w:pPr>
        <w:numPr>
          <w:ilvl w:val="0"/>
          <w:numId w:val="10"/>
        </w:numPr>
        <w:spacing w:before="0" w:after="0"/>
        <w:rPr>
          <w:sz w:val="22"/>
          <w:szCs w:val="22"/>
        </w:rPr>
      </w:pPr>
      <w:r>
        <w:rPr>
          <w:sz w:val="22"/>
          <w:szCs w:val="22"/>
        </w:rPr>
        <w:t xml:space="preserve">Shoalhaven </w:t>
      </w:r>
      <w:r w:rsidR="00DA168E" w:rsidRPr="00885A40">
        <w:rPr>
          <w:sz w:val="22"/>
          <w:szCs w:val="22"/>
        </w:rPr>
        <w:t>had the largest proportional increase in median sales price for houses over this period</w:t>
      </w:r>
      <w:r>
        <w:rPr>
          <w:sz w:val="22"/>
          <w:szCs w:val="22"/>
        </w:rPr>
        <w:t xml:space="preserve"> with 207.7%, followed by Kiama (188.8%) then Shellharbour (149.4%) and Wollongong (143.5%)</w:t>
      </w:r>
      <w:r w:rsidR="00DA168E" w:rsidRPr="00885A40">
        <w:rPr>
          <w:sz w:val="22"/>
          <w:szCs w:val="22"/>
        </w:rPr>
        <w:t>.</w:t>
      </w:r>
    </w:p>
    <w:p w14:paraId="30010A2C" w14:textId="77777777" w:rsidR="00DA168E" w:rsidRPr="00885A40" w:rsidRDefault="00DA168E" w:rsidP="001A69A0">
      <w:pPr>
        <w:numPr>
          <w:ilvl w:val="0"/>
          <w:numId w:val="10"/>
        </w:numPr>
        <w:spacing w:before="0" w:after="0"/>
        <w:rPr>
          <w:sz w:val="22"/>
          <w:szCs w:val="22"/>
        </w:rPr>
      </w:pPr>
      <w:r w:rsidRPr="00885A40">
        <w:rPr>
          <w:sz w:val="22"/>
          <w:szCs w:val="22"/>
        </w:rPr>
        <w:t xml:space="preserve">For strata properties, </w:t>
      </w:r>
      <w:r w:rsidR="00B258C9">
        <w:rPr>
          <w:sz w:val="22"/>
          <w:szCs w:val="22"/>
        </w:rPr>
        <w:t xml:space="preserve">Shoalhaven </w:t>
      </w:r>
      <w:r w:rsidRPr="00885A40">
        <w:rPr>
          <w:sz w:val="22"/>
          <w:szCs w:val="22"/>
        </w:rPr>
        <w:t>(1</w:t>
      </w:r>
      <w:r w:rsidR="00B258C9">
        <w:rPr>
          <w:sz w:val="22"/>
          <w:szCs w:val="22"/>
        </w:rPr>
        <w:t>3</w:t>
      </w:r>
      <w:r>
        <w:rPr>
          <w:sz w:val="22"/>
          <w:szCs w:val="22"/>
        </w:rPr>
        <w:t>2</w:t>
      </w:r>
      <w:r w:rsidR="00B258C9">
        <w:rPr>
          <w:sz w:val="22"/>
          <w:szCs w:val="22"/>
        </w:rPr>
        <w:t>.5</w:t>
      </w:r>
      <w:r w:rsidRPr="00885A40">
        <w:rPr>
          <w:sz w:val="22"/>
          <w:szCs w:val="22"/>
        </w:rPr>
        <w:t xml:space="preserve">%) </w:t>
      </w:r>
      <w:r w:rsidR="00B258C9">
        <w:rPr>
          <w:sz w:val="22"/>
          <w:szCs w:val="22"/>
        </w:rPr>
        <w:t xml:space="preserve">again </w:t>
      </w:r>
      <w:r w:rsidRPr="00885A40">
        <w:rPr>
          <w:sz w:val="22"/>
          <w:szCs w:val="22"/>
        </w:rPr>
        <w:t>had the largest proportional increase in median sales price over the ten year time frame</w:t>
      </w:r>
      <w:r w:rsidR="00B258C9">
        <w:rPr>
          <w:sz w:val="22"/>
          <w:szCs w:val="22"/>
        </w:rPr>
        <w:t xml:space="preserve">, followed by Shellharbour (122.4%) and Wollongong </w:t>
      </w:r>
      <w:r w:rsidR="00AB1F69">
        <w:rPr>
          <w:sz w:val="22"/>
          <w:szCs w:val="22"/>
        </w:rPr>
        <w:t>(</w:t>
      </w:r>
      <w:r w:rsidR="00B258C9">
        <w:rPr>
          <w:sz w:val="22"/>
          <w:szCs w:val="22"/>
        </w:rPr>
        <w:t>111.3%).  Note Kiama had insufficient strata sales for the March quarter 2022 to calculate the median sales price and determine the change from 2012</w:t>
      </w:r>
      <w:r w:rsidRPr="00885A40">
        <w:rPr>
          <w:sz w:val="22"/>
          <w:szCs w:val="22"/>
        </w:rPr>
        <w:t xml:space="preserve">.  </w:t>
      </w:r>
    </w:p>
    <w:p w14:paraId="32F001C4" w14:textId="77777777" w:rsidR="00690598" w:rsidRDefault="00DA168E" w:rsidP="001A69A0">
      <w:pPr>
        <w:numPr>
          <w:ilvl w:val="0"/>
          <w:numId w:val="10"/>
        </w:numPr>
        <w:spacing w:before="0" w:after="0"/>
        <w:rPr>
          <w:sz w:val="22"/>
          <w:szCs w:val="22"/>
        </w:rPr>
      </w:pPr>
      <w:r w:rsidRPr="00885A40">
        <w:rPr>
          <w:sz w:val="22"/>
          <w:szCs w:val="22"/>
        </w:rPr>
        <w:t>At March 20</w:t>
      </w:r>
      <w:r>
        <w:rPr>
          <w:sz w:val="22"/>
          <w:szCs w:val="22"/>
        </w:rPr>
        <w:t>22</w:t>
      </w:r>
      <w:r w:rsidRPr="00885A40">
        <w:rPr>
          <w:sz w:val="22"/>
          <w:szCs w:val="22"/>
        </w:rPr>
        <w:t xml:space="preserve">, </w:t>
      </w:r>
      <w:r w:rsidR="00690598">
        <w:rPr>
          <w:sz w:val="22"/>
          <w:szCs w:val="22"/>
        </w:rPr>
        <w:t xml:space="preserve">Kiama </w:t>
      </w:r>
      <w:r w:rsidRPr="00885A40">
        <w:rPr>
          <w:sz w:val="22"/>
          <w:szCs w:val="22"/>
        </w:rPr>
        <w:t>had the highest median sales price for houses with $</w:t>
      </w:r>
      <w:r w:rsidR="00690598">
        <w:rPr>
          <w:sz w:val="22"/>
          <w:szCs w:val="22"/>
        </w:rPr>
        <w:t>1,641</w:t>
      </w:r>
      <w:r w:rsidRPr="00885A40">
        <w:rPr>
          <w:sz w:val="22"/>
          <w:szCs w:val="22"/>
        </w:rPr>
        <w:t>,000, followed by $</w:t>
      </w:r>
      <w:r w:rsidR="00690598">
        <w:rPr>
          <w:sz w:val="22"/>
          <w:szCs w:val="22"/>
        </w:rPr>
        <w:t>1,097</w:t>
      </w:r>
      <w:r w:rsidRPr="00885A40">
        <w:rPr>
          <w:sz w:val="22"/>
          <w:szCs w:val="22"/>
        </w:rPr>
        <w:t>,000 in</w:t>
      </w:r>
      <w:r w:rsidR="00690598">
        <w:rPr>
          <w:sz w:val="22"/>
          <w:szCs w:val="22"/>
        </w:rPr>
        <w:t xml:space="preserve"> Wollongong</w:t>
      </w:r>
      <w:r>
        <w:rPr>
          <w:sz w:val="22"/>
          <w:szCs w:val="22"/>
        </w:rPr>
        <w:t xml:space="preserve">, </w:t>
      </w:r>
      <w:r w:rsidRPr="00885A40">
        <w:rPr>
          <w:sz w:val="22"/>
          <w:szCs w:val="22"/>
        </w:rPr>
        <w:t>$</w:t>
      </w:r>
      <w:r w:rsidR="00690598">
        <w:rPr>
          <w:sz w:val="22"/>
          <w:szCs w:val="22"/>
        </w:rPr>
        <w:t>1,021</w:t>
      </w:r>
      <w:r w:rsidRPr="00885A40">
        <w:rPr>
          <w:sz w:val="22"/>
          <w:szCs w:val="22"/>
        </w:rPr>
        <w:t xml:space="preserve">,000 in </w:t>
      </w:r>
      <w:r w:rsidR="00690598">
        <w:rPr>
          <w:sz w:val="22"/>
          <w:szCs w:val="22"/>
        </w:rPr>
        <w:t xml:space="preserve">Shoalhaven </w:t>
      </w:r>
      <w:r>
        <w:rPr>
          <w:sz w:val="22"/>
          <w:szCs w:val="22"/>
        </w:rPr>
        <w:t>and $</w:t>
      </w:r>
      <w:r w:rsidR="00690598">
        <w:rPr>
          <w:sz w:val="22"/>
          <w:szCs w:val="22"/>
        </w:rPr>
        <w:t>984</w:t>
      </w:r>
      <w:r>
        <w:rPr>
          <w:sz w:val="22"/>
          <w:szCs w:val="22"/>
        </w:rPr>
        <w:t xml:space="preserve">,000 in </w:t>
      </w:r>
      <w:r w:rsidR="00690598">
        <w:rPr>
          <w:sz w:val="22"/>
          <w:szCs w:val="22"/>
        </w:rPr>
        <w:t>Shellharbour</w:t>
      </w:r>
      <w:r w:rsidRPr="00885A40">
        <w:rPr>
          <w:sz w:val="22"/>
          <w:szCs w:val="22"/>
        </w:rPr>
        <w:t xml:space="preserve">.  </w:t>
      </w:r>
    </w:p>
    <w:p w14:paraId="3C80967E" w14:textId="77777777" w:rsidR="00DA168E" w:rsidRPr="00885A40" w:rsidRDefault="00690598" w:rsidP="001A69A0">
      <w:pPr>
        <w:numPr>
          <w:ilvl w:val="0"/>
          <w:numId w:val="10"/>
        </w:numPr>
        <w:spacing w:before="0" w:after="0"/>
        <w:rPr>
          <w:sz w:val="22"/>
          <w:szCs w:val="22"/>
        </w:rPr>
      </w:pPr>
      <w:r>
        <w:rPr>
          <w:sz w:val="22"/>
          <w:szCs w:val="22"/>
        </w:rPr>
        <w:t xml:space="preserve">Wollongong </w:t>
      </w:r>
      <w:r w:rsidR="00DA168E" w:rsidRPr="00885A40">
        <w:rPr>
          <w:sz w:val="22"/>
          <w:szCs w:val="22"/>
        </w:rPr>
        <w:t>had the highest median sales price for flats at March 2022 with $</w:t>
      </w:r>
      <w:r>
        <w:rPr>
          <w:sz w:val="22"/>
          <w:szCs w:val="22"/>
        </w:rPr>
        <w:t>755</w:t>
      </w:r>
      <w:r w:rsidR="00DA168E" w:rsidRPr="00885A40">
        <w:rPr>
          <w:sz w:val="22"/>
          <w:szCs w:val="22"/>
        </w:rPr>
        <w:t xml:space="preserve">,000, followed by </w:t>
      </w:r>
      <w:r>
        <w:rPr>
          <w:sz w:val="22"/>
          <w:szCs w:val="22"/>
        </w:rPr>
        <w:t>Shellharbour</w:t>
      </w:r>
      <w:r w:rsidR="00DA168E" w:rsidRPr="00885A40">
        <w:rPr>
          <w:sz w:val="22"/>
          <w:szCs w:val="22"/>
        </w:rPr>
        <w:t xml:space="preserve"> with $</w:t>
      </w:r>
      <w:r>
        <w:rPr>
          <w:sz w:val="22"/>
          <w:szCs w:val="22"/>
        </w:rPr>
        <w:t>665</w:t>
      </w:r>
      <w:r w:rsidR="00DA168E" w:rsidRPr="00885A40">
        <w:rPr>
          <w:sz w:val="22"/>
          <w:szCs w:val="22"/>
        </w:rPr>
        <w:t>,000</w:t>
      </w:r>
      <w:r>
        <w:rPr>
          <w:sz w:val="22"/>
          <w:szCs w:val="22"/>
        </w:rPr>
        <w:t xml:space="preserve"> and Shoalhaven with $616,000</w:t>
      </w:r>
      <w:r w:rsidR="00DA168E" w:rsidRPr="00885A40">
        <w:rPr>
          <w:sz w:val="22"/>
          <w:szCs w:val="22"/>
        </w:rPr>
        <w:t>.</w:t>
      </w:r>
    </w:p>
    <w:p w14:paraId="2C1A34E5" w14:textId="77777777" w:rsidR="00DA168E" w:rsidRPr="00885A40" w:rsidRDefault="00DA168E" w:rsidP="001A69A0">
      <w:pPr>
        <w:numPr>
          <w:ilvl w:val="0"/>
          <w:numId w:val="10"/>
        </w:numPr>
        <w:spacing w:before="0" w:after="0"/>
        <w:rPr>
          <w:sz w:val="22"/>
          <w:szCs w:val="22"/>
        </w:rPr>
      </w:pPr>
      <w:r w:rsidRPr="00885A40">
        <w:rPr>
          <w:sz w:val="22"/>
          <w:szCs w:val="22"/>
        </w:rPr>
        <w:t xml:space="preserve">The table below shows changes in the median sales price of both houses and flats over the last ten years in the </w:t>
      </w:r>
      <w:r w:rsidR="007B477E">
        <w:rPr>
          <w:sz w:val="22"/>
          <w:szCs w:val="22"/>
        </w:rPr>
        <w:t>Illawarra Shoalhaven</w:t>
      </w:r>
      <w:r>
        <w:rPr>
          <w:sz w:val="22"/>
          <w:szCs w:val="22"/>
        </w:rPr>
        <w:t xml:space="preserve"> </w:t>
      </w:r>
      <w:r w:rsidRPr="00885A40">
        <w:rPr>
          <w:sz w:val="22"/>
          <w:szCs w:val="22"/>
        </w:rPr>
        <w:t>region.</w:t>
      </w:r>
    </w:p>
    <w:p w14:paraId="046BF5DC" w14:textId="77777777" w:rsidR="00E1656E" w:rsidRPr="00EC3534" w:rsidRDefault="00E1656E" w:rsidP="00E1656E">
      <w:pPr>
        <w:jc w:val="both"/>
        <w:rPr>
          <w:sz w:val="22"/>
          <w:szCs w:val="22"/>
        </w:rPr>
      </w:pPr>
    </w:p>
    <w:p w14:paraId="3CC3A308" w14:textId="77777777" w:rsidR="00E1656E" w:rsidRDefault="00E242D4" w:rsidP="00E1656E">
      <w:pPr>
        <w:jc w:val="both"/>
        <w:rPr>
          <w:sz w:val="20"/>
          <w:szCs w:val="20"/>
          <w:highlight w:val="yellow"/>
        </w:rPr>
      </w:pPr>
      <w:r w:rsidRPr="00E242D4">
        <w:rPr>
          <w:noProof/>
        </w:rPr>
        <w:drawing>
          <wp:inline distT="0" distB="0" distL="0" distR="0" wp14:anchorId="6CAC63F4" wp14:editId="2C83842C">
            <wp:extent cx="5274310" cy="1072591"/>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1072591"/>
                    </a:xfrm>
                    <a:prstGeom prst="rect">
                      <a:avLst/>
                    </a:prstGeom>
                    <a:noFill/>
                    <a:ln>
                      <a:noFill/>
                    </a:ln>
                  </pic:spPr>
                </pic:pic>
              </a:graphicData>
            </a:graphic>
          </wp:inline>
        </w:drawing>
      </w:r>
    </w:p>
    <w:p w14:paraId="385246E5" w14:textId="77777777" w:rsidR="00690598" w:rsidRDefault="00690598" w:rsidP="00E1656E">
      <w:pPr>
        <w:jc w:val="both"/>
        <w:rPr>
          <w:sz w:val="20"/>
          <w:szCs w:val="20"/>
          <w:highlight w:val="yellow"/>
        </w:rPr>
      </w:pPr>
    </w:p>
    <w:p w14:paraId="477682A0" w14:textId="77777777" w:rsidR="00690598" w:rsidRDefault="00690598" w:rsidP="001A69A0">
      <w:pPr>
        <w:numPr>
          <w:ilvl w:val="0"/>
          <w:numId w:val="9"/>
        </w:numPr>
        <w:spacing w:before="0" w:after="0"/>
        <w:ind w:left="360"/>
        <w:rPr>
          <w:sz w:val="22"/>
          <w:szCs w:val="22"/>
        </w:rPr>
      </w:pPr>
      <w:r w:rsidRPr="00255D52">
        <w:rPr>
          <w:sz w:val="22"/>
          <w:szCs w:val="22"/>
        </w:rPr>
        <w:t xml:space="preserve">The long term median sales price trend for houses shows growth across all LGAs, particularly from around 2002.  </w:t>
      </w:r>
      <w:r w:rsidRPr="007A105F">
        <w:rPr>
          <w:sz w:val="22"/>
          <w:szCs w:val="22"/>
        </w:rPr>
        <w:t>The long term trend for strata properties is similar.</w:t>
      </w:r>
    </w:p>
    <w:p w14:paraId="287E2040" w14:textId="77777777" w:rsidR="00690598" w:rsidRDefault="00690598" w:rsidP="001A69A0">
      <w:pPr>
        <w:numPr>
          <w:ilvl w:val="0"/>
          <w:numId w:val="9"/>
        </w:numPr>
        <w:spacing w:before="0" w:after="0"/>
        <w:ind w:left="360"/>
        <w:rPr>
          <w:sz w:val="22"/>
          <w:szCs w:val="22"/>
        </w:rPr>
      </w:pPr>
      <w:r w:rsidRPr="00690598">
        <w:rPr>
          <w:sz w:val="22"/>
          <w:szCs w:val="22"/>
        </w:rPr>
        <w:t xml:space="preserve">The two graphs below show the median sales price trend for houses and for strata properties from 1991 to 2022 in all </w:t>
      </w:r>
      <w:r w:rsidR="00491DB5">
        <w:rPr>
          <w:sz w:val="22"/>
          <w:szCs w:val="22"/>
        </w:rPr>
        <w:t xml:space="preserve">Illawarra Shoalhaven </w:t>
      </w:r>
      <w:r w:rsidRPr="00690598">
        <w:rPr>
          <w:sz w:val="22"/>
          <w:szCs w:val="22"/>
        </w:rPr>
        <w:t xml:space="preserve">LGAs.  It is clear that </w:t>
      </w:r>
      <w:r w:rsidR="00491DB5">
        <w:rPr>
          <w:sz w:val="22"/>
          <w:szCs w:val="22"/>
        </w:rPr>
        <w:t>more recently the median sales prices have increased dramatically.</w:t>
      </w:r>
    </w:p>
    <w:p w14:paraId="09A7EEDA" w14:textId="77777777" w:rsidR="00690598" w:rsidRPr="00690598" w:rsidRDefault="00690598" w:rsidP="00690598">
      <w:pPr>
        <w:spacing w:before="0" w:after="0"/>
        <w:ind w:left="360"/>
        <w:rPr>
          <w:sz w:val="22"/>
          <w:szCs w:val="22"/>
        </w:rPr>
      </w:pPr>
    </w:p>
    <w:p w14:paraId="0A82CC22" w14:textId="77777777" w:rsidR="00E1656E" w:rsidRPr="007710BF" w:rsidRDefault="00764085" w:rsidP="00E1656E">
      <w:pPr>
        <w:jc w:val="both"/>
        <w:rPr>
          <w:sz w:val="20"/>
          <w:szCs w:val="20"/>
          <w:highlight w:val="yellow"/>
        </w:rPr>
      </w:pPr>
      <w:r>
        <w:rPr>
          <w:noProof/>
          <w:sz w:val="20"/>
          <w:szCs w:val="20"/>
          <w:highlight w:val="yellow"/>
        </w:rPr>
        <w:drawing>
          <wp:inline distT="0" distB="0" distL="0" distR="0" wp14:anchorId="4C7261A1" wp14:editId="5B182891">
            <wp:extent cx="5943600" cy="31107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5796" cy="3117180"/>
                    </a:xfrm>
                    <a:prstGeom prst="rect">
                      <a:avLst/>
                    </a:prstGeom>
                    <a:noFill/>
                  </pic:spPr>
                </pic:pic>
              </a:graphicData>
            </a:graphic>
          </wp:inline>
        </w:drawing>
      </w:r>
    </w:p>
    <w:p w14:paraId="56DDEAE6" w14:textId="77777777" w:rsidR="00E1656E" w:rsidRPr="007710BF" w:rsidRDefault="00E1656E" w:rsidP="00E1656E">
      <w:pPr>
        <w:jc w:val="both"/>
        <w:rPr>
          <w:sz w:val="20"/>
          <w:szCs w:val="20"/>
          <w:highlight w:val="yellow"/>
        </w:rPr>
      </w:pPr>
    </w:p>
    <w:p w14:paraId="1A895C63" w14:textId="77777777" w:rsidR="00E1656E" w:rsidRPr="007710BF" w:rsidRDefault="00E1656E" w:rsidP="00E1656E">
      <w:pPr>
        <w:jc w:val="both"/>
        <w:rPr>
          <w:sz w:val="20"/>
          <w:szCs w:val="20"/>
          <w:highlight w:val="yellow"/>
        </w:rPr>
      </w:pPr>
    </w:p>
    <w:p w14:paraId="22AA0BD9" w14:textId="77777777" w:rsidR="00E1656E" w:rsidRPr="007710BF" w:rsidRDefault="00E242D4" w:rsidP="00E1656E">
      <w:pPr>
        <w:jc w:val="both"/>
        <w:rPr>
          <w:sz w:val="20"/>
          <w:szCs w:val="20"/>
          <w:highlight w:val="yellow"/>
        </w:rPr>
      </w:pPr>
      <w:r w:rsidRPr="00491DB5">
        <w:rPr>
          <w:noProof/>
          <w:sz w:val="20"/>
          <w:szCs w:val="20"/>
        </w:rPr>
        <w:drawing>
          <wp:inline distT="0" distB="0" distL="0" distR="0" wp14:anchorId="48D91CAA" wp14:editId="4C2D855E">
            <wp:extent cx="6168390" cy="2821213"/>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9795" cy="2835577"/>
                    </a:xfrm>
                    <a:prstGeom prst="rect">
                      <a:avLst/>
                    </a:prstGeom>
                    <a:noFill/>
                  </pic:spPr>
                </pic:pic>
              </a:graphicData>
            </a:graphic>
          </wp:inline>
        </w:drawing>
      </w:r>
    </w:p>
    <w:p w14:paraId="70953B0D" w14:textId="77777777" w:rsidR="00E1656E" w:rsidRPr="0094585F" w:rsidRDefault="00E1656E" w:rsidP="0094585F">
      <w:pPr>
        <w:pStyle w:val="ListParagraph"/>
        <w:jc w:val="both"/>
        <w:rPr>
          <w:sz w:val="20"/>
          <w:szCs w:val="20"/>
        </w:rPr>
      </w:pPr>
    </w:p>
    <w:p w14:paraId="28075CE8" w14:textId="77777777" w:rsidR="00DE69EF" w:rsidRPr="00DE69EF" w:rsidRDefault="0044770C" w:rsidP="001A69A0">
      <w:pPr>
        <w:pStyle w:val="ListParagraph"/>
        <w:numPr>
          <w:ilvl w:val="0"/>
          <w:numId w:val="12"/>
        </w:numPr>
        <w:rPr>
          <w:sz w:val="20"/>
          <w:szCs w:val="20"/>
        </w:rPr>
      </w:pPr>
      <w:r w:rsidRPr="00FD1F98">
        <w:rPr>
          <w:sz w:val="22"/>
          <w:szCs w:val="22"/>
        </w:rPr>
        <w:t>However, between 2019 and 2022 there were more complex changes in the market, as the two tables below demonstrate</w:t>
      </w:r>
      <w:r>
        <w:rPr>
          <w:sz w:val="22"/>
          <w:szCs w:val="22"/>
        </w:rPr>
        <w:t xml:space="preserve">.  </w:t>
      </w:r>
    </w:p>
    <w:p w14:paraId="3D83FB6F" w14:textId="77777777" w:rsidR="00655723" w:rsidRPr="00655723" w:rsidRDefault="00655723" w:rsidP="001A69A0">
      <w:pPr>
        <w:pStyle w:val="ListParagraph"/>
        <w:numPr>
          <w:ilvl w:val="0"/>
          <w:numId w:val="12"/>
        </w:numPr>
        <w:rPr>
          <w:sz w:val="20"/>
          <w:szCs w:val="20"/>
        </w:rPr>
      </w:pPr>
      <w:r>
        <w:rPr>
          <w:sz w:val="22"/>
          <w:szCs w:val="22"/>
        </w:rPr>
        <w:t>Generally, b</w:t>
      </w:r>
      <w:r w:rsidR="0044770C" w:rsidRPr="00FD1F98">
        <w:rPr>
          <w:sz w:val="22"/>
          <w:szCs w:val="22"/>
        </w:rPr>
        <w:t>etween March 2019 and 2020 median house and strata prices experienced relatively low growth in</w:t>
      </w:r>
      <w:r>
        <w:rPr>
          <w:sz w:val="22"/>
          <w:szCs w:val="22"/>
        </w:rPr>
        <w:t xml:space="preserve"> the Illawarra Shoalhaven</w:t>
      </w:r>
      <w:r w:rsidR="0044770C" w:rsidRPr="00FD1F98">
        <w:rPr>
          <w:sz w:val="22"/>
          <w:szCs w:val="22"/>
        </w:rPr>
        <w:t xml:space="preserve">.  </w:t>
      </w:r>
    </w:p>
    <w:p w14:paraId="0B51B249" w14:textId="77777777" w:rsidR="00655723" w:rsidRPr="00655723" w:rsidRDefault="00655723" w:rsidP="001A69A0">
      <w:pPr>
        <w:pStyle w:val="ListParagraph"/>
        <w:numPr>
          <w:ilvl w:val="0"/>
          <w:numId w:val="12"/>
        </w:numPr>
        <w:rPr>
          <w:sz w:val="20"/>
          <w:szCs w:val="20"/>
        </w:rPr>
      </w:pPr>
      <w:r>
        <w:rPr>
          <w:sz w:val="22"/>
          <w:szCs w:val="22"/>
        </w:rPr>
        <w:t>Increases in the median sales price for houses ranged from 2.1% in Shoalhaven to 4.0% in Kiama, with Wollongong the outlier on 11.4%.</w:t>
      </w:r>
    </w:p>
    <w:p w14:paraId="58314FA4" w14:textId="77777777" w:rsidR="0044770C" w:rsidRPr="00FD1F98" w:rsidRDefault="00655723" w:rsidP="001A69A0">
      <w:pPr>
        <w:pStyle w:val="ListParagraph"/>
        <w:numPr>
          <w:ilvl w:val="0"/>
          <w:numId w:val="12"/>
        </w:numPr>
        <w:rPr>
          <w:sz w:val="20"/>
          <w:szCs w:val="20"/>
        </w:rPr>
      </w:pPr>
      <w:r>
        <w:rPr>
          <w:sz w:val="22"/>
          <w:szCs w:val="22"/>
        </w:rPr>
        <w:t>For strata increases in median sales price ranged from 4.3% in Wollongong to 9.9% in Shellharbour – with insufficient sales in both Kiama and Shoalhaven to calculate the median</w:t>
      </w:r>
      <w:r w:rsidR="0044770C" w:rsidRPr="00FD1F98">
        <w:rPr>
          <w:sz w:val="22"/>
          <w:szCs w:val="22"/>
        </w:rPr>
        <w:t>.</w:t>
      </w:r>
    </w:p>
    <w:p w14:paraId="76C93E76" w14:textId="77777777" w:rsidR="0044770C" w:rsidRPr="00880FAF" w:rsidRDefault="0044770C" w:rsidP="001A69A0">
      <w:pPr>
        <w:pStyle w:val="ListParagraph"/>
        <w:numPr>
          <w:ilvl w:val="0"/>
          <w:numId w:val="12"/>
        </w:numPr>
        <w:rPr>
          <w:sz w:val="20"/>
          <w:szCs w:val="20"/>
        </w:rPr>
      </w:pPr>
      <w:r>
        <w:rPr>
          <w:sz w:val="22"/>
          <w:szCs w:val="22"/>
        </w:rPr>
        <w:t xml:space="preserve">Between March 2021 and March 2022 there was strong growth in median house and strata prices across the </w:t>
      </w:r>
      <w:r w:rsidR="00655723">
        <w:rPr>
          <w:sz w:val="22"/>
          <w:szCs w:val="22"/>
        </w:rPr>
        <w:t>Illawarra Shoalhaven</w:t>
      </w:r>
      <w:r>
        <w:rPr>
          <w:sz w:val="22"/>
          <w:szCs w:val="22"/>
        </w:rPr>
        <w:t xml:space="preserve">. Increases in the median sales price for houses ranged between 39.1% in </w:t>
      </w:r>
      <w:r w:rsidR="00655723">
        <w:rPr>
          <w:sz w:val="22"/>
          <w:szCs w:val="22"/>
        </w:rPr>
        <w:t>Shoalhaven</w:t>
      </w:r>
      <w:r>
        <w:rPr>
          <w:sz w:val="22"/>
          <w:szCs w:val="22"/>
        </w:rPr>
        <w:t xml:space="preserve"> and </w:t>
      </w:r>
      <w:r w:rsidR="00655723">
        <w:rPr>
          <w:sz w:val="22"/>
          <w:szCs w:val="22"/>
        </w:rPr>
        <w:t>23.3</w:t>
      </w:r>
      <w:r>
        <w:rPr>
          <w:sz w:val="22"/>
          <w:szCs w:val="22"/>
        </w:rPr>
        <w:t xml:space="preserve">% in </w:t>
      </w:r>
      <w:r w:rsidR="00655723">
        <w:rPr>
          <w:sz w:val="22"/>
          <w:szCs w:val="22"/>
        </w:rPr>
        <w:t>Wollongong</w:t>
      </w:r>
      <w:r>
        <w:rPr>
          <w:sz w:val="22"/>
          <w:szCs w:val="22"/>
        </w:rPr>
        <w:t xml:space="preserve">.   For strata over the same period, increases ranged between </w:t>
      </w:r>
      <w:r w:rsidR="00235EA1">
        <w:rPr>
          <w:sz w:val="22"/>
          <w:szCs w:val="22"/>
        </w:rPr>
        <w:t>24.0</w:t>
      </w:r>
      <w:r>
        <w:rPr>
          <w:sz w:val="22"/>
          <w:szCs w:val="22"/>
        </w:rPr>
        <w:t xml:space="preserve">% in </w:t>
      </w:r>
      <w:r w:rsidR="00235EA1">
        <w:rPr>
          <w:sz w:val="22"/>
          <w:szCs w:val="22"/>
        </w:rPr>
        <w:t xml:space="preserve">Wollongong </w:t>
      </w:r>
      <w:r>
        <w:rPr>
          <w:sz w:val="22"/>
          <w:szCs w:val="22"/>
        </w:rPr>
        <w:t>and 1</w:t>
      </w:r>
      <w:r w:rsidR="00235EA1">
        <w:rPr>
          <w:sz w:val="22"/>
          <w:szCs w:val="22"/>
        </w:rPr>
        <w:t>3.9</w:t>
      </w:r>
      <w:r>
        <w:rPr>
          <w:sz w:val="22"/>
          <w:szCs w:val="22"/>
        </w:rPr>
        <w:t xml:space="preserve">% in </w:t>
      </w:r>
      <w:r w:rsidR="00235EA1">
        <w:rPr>
          <w:sz w:val="22"/>
          <w:szCs w:val="22"/>
        </w:rPr>
        <w:t>Shoalhaven, with Kiama having insufficient sales to make the calculation</w:t>
      </w:r>
      <w:r>
        <w:rPr>
          <w:sz w:val="22"/>
          <w:szCs w:val="22"/>
        </w:rPr>
        <w:t>.</w:t>
      </w:r>
    </w:p>
    <w:p w14:paraId="216E26AF" w14:textId="77777777" w:rsidR="00D927BD" w:rsidRPr="0044770C" w:rsidRDefault="0044770C" w:rsidP="001A69A0">
      <w:pPr>
        <w:pStyle w:val="ListParagraph"/>
        <w:numPr>
          <w:ilvl w:val="0"/>
          <w:numId w:val="12"/>
        </w:numPr>
        <w:rPr>
          <w:sz w:val="20"/>
          <w:szCs w:val="20"/>
        </w:rPr>
      </w:pPr>
      <w:r>
        <w:rPr>
          <w:sz w:val="22"/>
          <w:szCs w:val="22"/>
        </w:rPr>
        <w:t>Clearly Covid also had an impact on sales prices in the region.</w:t>
      </w:r>
    </w:p>
    <w:p w14:paraId="19CEDE1E" w14:textId="77777777" w:rsidR="00D927BD" w:rsidRPr="00D927BD" w:rsidRDefault="00D927BD" w:rsidP="00D927BD">
      <w:pPr>
        <w:jc w:val="both"/>
        <w:rPr>
          <w:sz w:val="22"/>
          <w:szCs w:val="22"/>
        </w:rPr>
      </w:pPr>
    </w:p>
    <w:p w14:paraId="302BF6DF" w14:textId="77777777" w:rsidR="00E1656E" w:rsidRDefault="00E242D4" w:rsidP="00E1656E">
      <w:pPr>
        <w:jc w:val="both"/>
        <w:rPr>
          <w:sz w:val="20"/>
          <w:szCs w:val="20"/>
        </w:rPr>
      </w:pPr>
      <w:r w:rsidRPr="00E242D4">
        <w:rPr>
          <w:noProof/>
        </w:rPr>
        <w:drawing>
          <wp:inline distT="0" distB="0" distL="0" distR="0" wp14:anchorId="0962384D" wp14:editId="18168A96">
            <wp:extent cx="5274310" cy="1072591"/>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1072591"/>
                    </a:xfrm>
                    <a:prstGeom prst="rect">
                      <a:avLst/>
                    </a:prstGeom>
                    <a:noFill/>
                    <a:ln>
                      <a:noFill/>
                    </a:ln>
                  </pic:spPr>
                </pic:pic>
              </a:graphicData>
            </a:graphic>
          </wp:inline>
        </w:drawing>
      </w:r>
    </w:p>
    <w:p w14:paraId="21AA97EA" w14:textId="77777777" w:rsidR="00D927BD" w:rsidRDefault="00D927BD" w:rsidP="00E1656E">
      <w:pPr>
        <w:jc w:val="both"/>
        <w:rPr>
          <w:sz w:val="20"/>
          <w:szCs w:val="20"/>
        </w:rPr>
      </w:pPr>
    </w:p>
    <w:p w14:paraId="2892A9C0" w14:textId="77777777" w:rsidR="00E242D4" w:rsidRPr="0094585F" w:rsidRDefault="00E242D4" w:rsidP="00E1656E">
      <w:pPr>
        <w:jc w:val="both"/>
        <w:rPr>
          <w:sz w:val="20"/>
          <w:szCs w:val="20"/>
        </w:rPr>
      </w:pPr>
      <w:r w:rsidRPr="00E242D4">
        <w:rPr>
          <w:noProof/>
        </w:rPr>
        <w:drawing>
          <wp:inline distT="0" distB="0" distL="0" distR="0" wp14:anchorId="33CF6134" wp14:editId="35D0D106">
            <wp:extent cx="5274310" cy="1072591"/>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1072591"/>
                    </a:xfrm>
                    <a:prstGeom prst="rect">
                      <a:avLst/>
                    </a:prstGeom>
                    <a:noFill/>
                    <a:ln>
                      <a:noFill/>
                    </a:ln>
                  </pic:spPr>
                </pic:pic>
              </a:graphicData>
            </a:graphic>
          </wp:inline>
        </w:drawing>
      </w:r>
    </w:p>
    <w:p w14:paraId="1D86F801" w14:textId="77777777" w:rsidR="00E1656E" w:rsidRDefault="00E1656E" w:rsidP="00E1656E">
      <w:pPr>
        <w:jc w:val="both"/>
        <w:rPr>
          <w:sz w:val="20"/>
          <w:szCs w:val="20"/>
          <w:highlight w:val="yellow"/>
        </w:rPr>
      </w:pPr>
    </w:p>
    <w:p w14:paraId="5DE4FC41" w14:textId="77777777" w:rsidR="008E541D" w:rsidRPr="007710BF" w:rsidRDefault="008E541D" w:rsidP="00E1656E">
      <w:pPr>
        <w:jc w:val="both"/>
        <w:rPr>
          <w:sz w:val="20"/>
          <w:szCs w:val="20"/>
          <w:highlight w:val="yellow"/>
        </w:rPr>
      </w:pPr>
    </w:p>
    <w:p w14:paraId="34AE24CD" w14:textId="77777777" w:rsidR="00E1656E" w:rsidRPr="00E1068C" w:rsidRDefault="00E1656E" w:rsidP="00E1656E">
      <w:pPr>
        <w:jc w:val="both"/>
        <w:rPr>
          <w:b/>
          <w:color w:val="008000"/>
          <w:sz w:val="32"/>
        </w:rPr>
      </w:pPr>
      <w:r w:rsidRPr="00E1068C">
        <w:rPr>
          <w:b/>
          <w:color w:val="008000"/>
          <w:sz w:val="32"/>
        </w:rPr>
        <w:t>Purchase Affordability</w:t>
      </w:r>
    </w:p>
    <w:p w14:paraId="17C6A87D" w14:textId="77777777" w:rsidR="00153F28" w:rsidRDefault="00153F28" w:rsidP="001A69A0">
      <w:pPr>
        <w:numPr>
          <w:ilvl w:val="0"/>
          <w:numId w:val="6"/>
        </w:numPr>
        <w:spacing w:before="0" w:after="0"/>
        <w:jc w:val="both"/>
        <w:rPr>
          <w:sz w:val="22"/>
          <w:szCs w:val="22"/>
        </w:rPr>
      </w:pPr>
      <w:r>
        <w:rPr>
          <w:sz w:val="22"/>
          <w:szCs w:val="22"/>
        </w:rPr>
        <w:t>P</w:t>
      </w:r>
      <w:r w:rsidRPr="00EC3534">
        <w:rPr>
          <w:sz w:val="22"/>
          <w:szCs w:val="22"/>
        </w:rPr>
        <w:t>urchase affordability for very low income earners has</w:t>
      </w:r>
      <w:r>
        <w:rPr>
          <w:sz w:val="22"/>
          <w:szCs w:val="22"/>
        </w:rPr>
        <w:t xml:space="preserve"> varied over the period from 2001 to 2021 and in the Rest of NSW the proportion of sales affordable to purchase by very low income households is actually slightly higher in 2021 than in 2001.</w:t>
      </w:r>
    </w:p>
    <w:p w14:paraId="3B3A78FC" w14:textId="77777777" w:rsidR="00153F28" w:rsidRDefault="00153F28" w:rsidP="001A69A0">
      <w:pPr>
        <w:numPr>
          <w:ilvl w:val="0"/>
          <w:numId w:val="6"/>
        </w:numPr>
        <w:spacing w:before="0" w:after="0"/>
        <w:jc w:val="both"/>
        <w:rPr>
          <w:sz w:val="22"/>
          <w:szCs w:val="22"/>
        </w:rPr>
      </w:pPr>
      <w:r>
        <w:rPr>
          <w:sz w:val="22"/>
          <w:szCs w:val="22"/>
        </w:rPr>
        <w:t>This is not the case in the Illawarra Shoalhaven</w:t>
      </w:r>
      <w:r w:rsidRPr="003B5CDA">
        <w:rPr>
          <w:sz w:val="22"/>
          <w:szCs w:val="22"/>
        </w:rPr>
        <w:t>.  Purchase affordability</w:t>
      </w:r>
      <w:r>
        <w:rPr>
          <w:sz w:val="22"/>
          <w:szCs w:val="22"/>
        </w:rPr>
        <w:t xml:space="preserve"> at 2021 is 0.0% in every Illawarra Shoalhaven LGA – in every case a lower proportion than in 2001.</w:t>
      </w:r>
    </w:p>
    <w:p w14:paraId="4D403084" w14:textId="77777777" w:rsidR="00153F28" w:rsidRPr="00153F28" w:rsidRDefault="00153F28" w:rsidP="001A69A0">
      <w:pPr>
        <w:numPr>
          <w:ilvl w:val="0"/>
          <w:numId w:val="6"/>
        </w:numPr>
        <w:spacing w:before="0" w:after="0"/>
        <w:jc w:val="both"/>
        <w:rPr>
          <w:sz w:val="22"/>
          <w:szCs w:val="22"/>
        </w:rPr>
      </w:pPr>
      <w:r>
        <w:rPr>
          <w:sz w:val="22"/>
          <w:szCs w:val="22"/>
        </w:rPr>
        <w:t xml:space="preserve">All LGAs in this region </w:t>
      </w:r>
      <w:r w:rsidRPr="00153F28">
        <w:rPr>
          <w:sz w:val="22"/>
          <w:szCs w:val="22"/>
        </w:rPr>
        <w:t>had a lower proportion of affordable purchase for very low income households than the average for the Rest of NSW of 7.5%</w:t>
      </w:r>
    </w:p>
    <w:p w14:paraId="3292110B" w14:textId="77777777" w:rsidR="00153F28" w:rsidRPr="00EC3534" w:rsidRDefault="00153F28" w:rsidP="001A69A0">
      <w:pPr>
        <w:numPr>
          <w:ilvl w:val="0"/>
          <w:numId w:val="6"/>
        </w:numPr>
        <w:spacing w:before="0" w:after="0"/>
        <w:jc w:val="both"/>
        <w:rPr>
          <w:sz w:val="22"/>
          <w:szCs w:val="22"/>
        </w:rPr>
      </w:pPr>
      <w:r w:rsidRPr="00EC3534">
        <w:rPr>
          <w:sz w:val="22"/>
          <w:szCs w:val="22"/>
        </w:rPr>
        <w:lastRenderedPageBreak/>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 purchase affordability for very low income households in </w:t>
      </w:r>
      <w:r>
        <w:rPr>
          <w:sz w:val="22"/>
          <w:szCs w:val="22"/>
        </w:rPr>
        <w:t xml:space="preserve">the Illawarra Shoalhaven LGAs </w:t>
      </w:r>
      <w:r w:rsidRPr="00EC3534">
        <w:rPr>
          <w:sz w:val="22"/>
          <w:szCs w:val="22"/>
        </w:rPr>
        <w:t>and the Rest of NSW between 20</w:t>
      </w:r>
      <w:r>
        <w:rPr>
          <w:sz w:val="22"/>
          <w:szCs w:val="22"/>
        </w:rPr>
        <w:t>0</w:t>
      </w:r>
      <w:r w:rsidRPr="00EC3534">
        <w:rPr>
          <w:sz w:val="22"/>
          <w:szCs w:val="22"/>
        </w:rPr>
        <w:t>1 and 20</w:t>
      </w:r>
      <w:r>
        <w:rPr>
          <w:sz w:val="22"/>
          <w:szCs w:val="22"/>
        </w:rPr>
        <w:t>21</w:t>
      </w:r>
      <w:r w:rsidRPr="00EC3534">
        <w:rPr>
          <w:sz w:val="22"/>
          <w:szCs w:val="22"/>
        </w:rPr>
        <w:t>.</w:t>
      </w:r>
    </w:p>
    <w:p w14:paraId="28A4ABB7" w14:textId="77777777" w:rsidR="00E1656E" w:rsidRDefault="00E1656E" w:rsidP="00E1656E">
      <w:pPr>
        <w:spacing w:after="0"/>
        <w:jc w:val="both"/>
        <w:rPr>
          <w:sz w:val="22"/>
          <w:szCs w:val="22"/>
        </w:rPr>
      </w:pPr>
    </w:p>
    <w:p w14:paraId="505C415A" w14:textId="77777777" w:rsidR="00D927BD" w:rsidRDefault="003147DD" w:rsidP="00E1656E">
      <w:pPr>
        <w:spacing w:after="0"/>
        <w:jc w:val="both"/>
        <w:rPr>
          <w:sz w:val="22"/>
          <w:szCs w:val="22"/>
        </w:rPr>
      </w:pPr>
      <w:r>
        <w:rPr>
          <w:noProof/>
          <w:sz w:val="22"/>
          <w:szCs w:val="22"/>
        </w:rPr>
        <w:drawing>
          <wp:inline distT="0" distB="0" distL="0" distR="0" wp14:anchorId="26EF9172" wp14:editId="4FAB9A14">
            <wp:extent cx="6082030" cy="301747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7970" cy="3025380"/>
                    </a:xfrm>
                    <a:prstGeom prst="rect">
                      <a:avLst/>
                    </a:prstGeom>
                    <a:noFill/>
                  </pic:spPr>
                </pic:pic>
              </a:graphicData>
            </a:graphic>
          </wp:inline>
        </w:drawing>
      </w:r>
    </w:p>
    <w:p w14:paraId="7E440A89" w14:textId="77777777" w:rsidR="00E1656E" w:rsidRDefault="00E1656E" w:rsidP="00E1656E">
      <w:pPr>
        <w:jc w:val="both"/>
        <w:rPr>
          <w:noProof/>
          <w:sz w:val="20"/>
          <w:szCs w:val="20"/>
        </w:rPr>
      </w:pPr>
    </w:p>
    <w:p w14:paraId="135518BE" w14:textId="77777777" w:rsidR="003147DD" w:rsidRPr="003147DD" w:rsidRDefault="003147DD" w:rsidP="00E1656E">
      <w:pPr>
        <w:jc w:val="both"/>
        <w:rPr>
          <w:noProof/>
          <w:sz w:val="22"/>
          <w:szCs w:val="22"/>
        </w:rPr>
      </w:pPr>
      <w:r>
        <w:rPr>
          <w:noProof/>
          <w:sz w:val="22"/>
          <w:szCs w:val="22"/>
        </w:rPr>
        <w:t>Proportion affordable purchase for very low income households</w:t>
      </w:r>
    </w:p>
    <w:p w14:paraId="42A2E4F3" w14:textId="77777777" w:rsidR="00984B52" w:rsidRDefault="003147DD" w:rsidP="00984B52">
      <w:pPr>
        <w:spacing w:before="0" w:after="0"/>
        <w:jc w:val="both"/>
        <w:rPr>
          <w:b/>
          <w:sz w:val="22"/>
          <w:szCs w:val="22"/>
        </w:rPr>
      </w:pPr>
      <w:r w:rsidRPr="003147DD">
        <w:rPr>
          <w:noProof/>
        </w:rPr>
        <w:drawing>
          <wp:inline distT="0" distB="0" distL="0" distR="0" wp14:anchorId="0542DF0A" wp14:editId="71733A14">
            <wp:extent cx="6165116" cy="108585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3511" cy="1087329"/>
                    </a:xfrm>
                    <a:prstGeom prst="rect">
                      <a:avLst/>
                    </a:prstGeom>
                    <a:noFill/>
                    <a:ln>
                      <a:noFill/>
                    </a:ln>
                  </pic:spPr>
                </pic:pic>
              </a:graphicData>
            </a:graphic>
          </wp:inline>
        </w:drawing>
      </w:r>
    </w:p>
    <w:p w14:paraId="7E361364" w14:textId="77777777" w:rsidR="003147DD" w:rsidRDefault="003147DD" w:rsidP="00984B52">
      <w:pPr>
        <w:spacing w:before="0" w:after="0"/>
        <w:jc w:val="both"/>
        <w:rPr>
          <w:b/>
          <w:sz w:val="22"/>
          <w:szCs w:val="22"/>
        </w:rPr>
      </w:pPr>
    </w:p>
    <w:p w14:paraId="7B92F0B7" w14:textId="77777777" w:rsidR="009E3C72" w:rsidRPr="00B53C22" w:rsidRDefault="009E3C72" w:rsidP="001A69A0">
      <w:pPr>
        <w:numPr>
          <w:ilvl w:val="0"/>
          <w:numId w:val="7"/>
        </w:numPr>
        <w:spacing w:before="0" w:after="0"/>
        <w:jc w:val="both"/>
        <w:rPr>
          <w:b/>
          <w:sz w:val="22"/>
          <w:szCs w:val="22"/>
        </w:rPr>
      </w:pPr>
      <w:r>
        <w:rPr>
          <w:sz w:val="22"/>
          <w:szCs w:val="22"/>
        </w:rPr>
        <w:t>Likewise, every Illawarra Shoalhaven LGA had a lower proportion of housing affordable for purchase by low income households in 2021 than in 2001.  There has been some volatility in affordable purchase over this time frame, with all LGAs seeing a decline in affordability since 2020.</w:t>
      </w:r>
    </w:p>
    <w:p w14:paraId="4F299364" w14:textId="77777777" w:rsidR="009E3C72" w:rsidRPr="00AD5F1E" w:rsidRDefault="009E3C72" w:rsidP="001A69A0">
      <w:pPr>
        <w:numPr>
          <w:ilvl w:val="0"/>
          <w:numId w:val="7"/>
        </w:numPr>
        <w:spacing w:before="0" w:after="0"/>
        <w:jc w:val="both"/>
        <w:rPr>
          <w:b/>
          <w:sz w:val="22"/>
          <w:szCs w:val="22"/>
        </w:rPr>
      </w:pPr>
      <w:r w:rsidRPr="00EC3534">
        <w:rPr>
          <w:sz w:val="22"/>
          <w:szCs w:val="22"/>
        </w:rPr>
        <w:t>At</w:t>
      </w:r>
      <w:r>
        <w:rPr>
          <w:sz w:val="22"/>
          <w:szCs w:val="22"/>
        </w:rPr>
        <w:t xml:space="preserve"> June 2021</w:t>
      </w:r>
      <w:r w:rsidRPr="00EC3534">
        <w:rPr>
          <w:sz w:val="22"/>
          <w:szCs w:val="22"/>
        </w:rPr>
        <w:t xml:space="preserve">, </w:t>
      </w:r>
      <w:r>
        <w:rPr>
          <w:sz w:val="22"/>
          <w:szCs w:val="22"/>
        </w:rPr>
        <w:t>all the Illawarra Shoalhaven LGAs had a lower proportion of housing affordable for purchase by low income households than the Rest of NSW average of 23.8%.</w:t>
      </w:r>
    </w:p>
    <w:p w14:paraId="0908475C" w14:textId="77777777" w:rsidR="009E3C72" w:rsidRPr="009E3C72" w:rsidRDefault="009E3C72" w:rsidP="001A69A0">
      <w:pPr>
        <w:numPr>
          <w:ilvl w:val="0"/>
          <w:numId w:val="7"/>
        </w:numPr>
        <w:spacing w:before="0" w:after="0"/>
        <w:jc w:val="both"/>
        <w:rPr>
          <w:b/>
          <w:sz w:val="22"/>
          <w:szCs w:val="22"/>
        </w:rPr>
      </w:pPr>
      <w:r>
        <w:rPr>
          <w:sz w:val="22"/>
          <w:szCs w:val="22"/>
        </w:rPr>
        <w:t>Both Shellharbour and Wollongong had 0.0% affordable purchase for low income households, with Kiama having just 0.9% and Shoalhaven 3.2%</w:t>
      </w:r>
      <w:r w:rsidR="008B6AE7">
        <w:rPr>
          <w:sz w:val="22"/>
          <w:szCs w:val="22"/>
        </w:rPr>
        <w:t>.</w:t>
      </w:r>
    </w:p>
    <w:p w14:paraId="1DA65AB5" w14:textId="77777777" w:rsidR="009E3C72" w:rsidRPr="00EC3534" w:rsidRDefault="009E3C72" w:rsidP="001A69A0">
      <w:pPr>
        <w:numPr>
          <w:ilvl w:val="0"/>
          <w:numId w:val="7"/>
        </w:numPr>
        <w:spacing w:before="0" w:after="0"/>
        <w:jc w:val="both"/>
        <w:rPr>
          <w:b/>
          <w:sz w:val="22"/>
          <w:szCs w:val="22"/>
        </w:rPr>
      </w:pPr>
      <w:r w:rsidRPr="00EC3534">
        <w:rPr>
          <w:sz w:val="22"/>
          <w:szCs w:val="22"/>
        </w:rPr>
        <w:t xml:space="preserve">The graph </w:t>
      </w:r>
      <w:r>
        <w:rPr>
          <w:sz w:val="22"/>
          <w:szCs w:val="22"/>
        </w:rPr>
        <w:t xml:space="preserve">and table </w:t>
      </w:r>
      <w:r w:rsidRPr="00EC3534">
        <w:rPr>
          <w:sz w:val="22"/>
          <w:szCs w:val="22"/>
        </w:rPr>
        <w:t>below show the change in purchase affordability for low income households in the</w:t>
      </w:r>
      <w:r>
        <w:rPr>
          <w:sz w:val="22"/>
          <w:szCs w:val="22"/>
        </w:rPr>
        <w:t xml:space="preserve"> </w:t>
      </w:r>
      <w:r w:rsidR="003D69FF">
        <w:rPr>
          <w:sz w:val="22"/>
          <w:szCs w:val="22"/>
        </w:rPr>
        <w:t>Illawarra Shoalhaven</w:t>
      </w:r>
      <w:r>
        <w:rPr>
          <w:sz w:val="22"/>
          <w:szCs w:val="22"/>
        </w:rPr>
        <w:t xml:space="preserve">, compared to the Rest of NSW, </w:t>
      </w:r>
      <w:r w:rsidRPr="00EC3534">
        <w:rPr>
          <w:sz w:val="22"/>
          <w:szCs w:val="22"/>
        </w:rPr>
        <w:t>between 20</w:t>
      </w:r>
      <w:r>
        <w:rPr>
          <w:sz w:val="22"/>
          <w:szCs w:val="22"/>
        </w:rPr>
        <w:t>0</w:t>
      </w:r>
      <w:r w:rsidRPr="00EC3534">
        <w:rPr>
          <w:sz w:val="22"/>
          <w:szCs w:val="22"/>
        </w:rPr>
        <w:t>1 and 20</w:t>
      </w:r>
      <w:r>
        <w:rPr>
          <w:sz w:val="22"/>
          <w:szCs w:val="22"/>
        </w:rPr>
        <w:t>21</w:t>
      </w:r>
      <w:r w:rsidRPr="00EC3534">
        <w:rPr>
          <w:sz w:val="22"/>
          <w:szCs w:val="22"/>
        </w:rPr>
        <w:t>.</w:t>
      </w:r>
    </w:p>
    <w:p w14:paraId="11F293C5" w14:textId="77777777" w:rsidR="003147DD" w:rsidRDefault="003147DD" w:rsidP="00984B52">
      <w:pPr>
        <w:spacing w:before="0" w:after="0"/>
        <w:jc w:val="both"/>
        <w:rPr>
          <w:b/>
          <w:sz w:val="22"/>
          <w:szCs w:val="22"/>
        </w:rPr>
      </w:pPr>
    </w:p>
    <w:p w14:paraId="221BA105" w14:textId="77777777" w:rsidR="00E1656E" w:rsidRDefault="003147DD" w:rsidP="00E1656E">
      <w:pPr>
        <w:jc w:val="both"/>
        <w:rPr>
          <w:b/>
          <w:sz w:val="20"/>
          <w:szCs w:val="20"/>
          <w:highlight w:val="yellow"/>
        </w:rPr>
      </w:pPr>
      <w:r w:rsidRPr="00EC4AD2">
        <w:rPr>
          <w:b/>
          <w:noProof/>
          <w:sz w:val="20"/>
          <w:szCs w:val="20"/>
        </w:rPr>
        <w:lastRenderedPageBreak/>
        <w:drawing>
          <wp:inline distT="0" distB="0" distL="0" distR="0" wp14:anchorId="6C87FAFD" wp14:editId="37B4A124">
            <wp:extent cx="6097270" cy="29039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9646" cy="2909851"/>
                    </a:xfrm>
                    <a:prstGeom prst="rect">
                      <a:avLst/>
                    </a:prstGeom>
                    <a:noFill/>
                  </pic:spPr>
                </pic:pic>
              </a:graphicData>
            </a:graphic>
          </wp:inline>
        </w:drawing>
      </w:r>
    </w:p>
    <w:p w14:paraId="18FCF5FD" w14:textId="77777777" w:rsidR="00E1656E" w:rsidRDefault="00E1656E" w:rsidP="00E1656E">
      <w:pPr>
        <w:jc w:val="both"/>
        <w:rPr>
          <w:b/>
          <w:sz w:val="20"/>
          <w:szCs w:val="20"/>
          <w:highlight w:val="yellow"/>
        </w:rPr>
      </w:pPr>
    </w:p>
    <w:p w14:paraId="3B75B517" w14:textId="77777777" w:rsidR="003147DD" w:rsidRDefault="003147DD" w:rsidP="00E1656E">
      <w:pPr>
        <w:jc w:val="both"/>
        <w:rPr>
          <w:b/>
          <w:sz w:val="20"/>
          <w:szCs w:val="20"/>
          <w:highlight w:val="yellow"/>
        </w:rPr>
      </w:pPr>
      <w:r w:rsidRPr="003147DD">
        <w:rPr>
          <w:noProof/>
        </w:rPr>
        <w:drawing>
          <wp:inline distT="0" distB="0" distL="0" distR="0" wp14:anchorId="2796A4D7" wp14:editId="593E9FE0">
            <wp:extent cx="6056956" cy="106680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0285" cy="1072670"/>
                    </a:xfrm>
                    <a:prstGeom prst="rect">
                      <a:avLst/>
                    </a:prstGeom>
                    <a:noFill/>
                    <a:ln>
                      <a:noFill/>
                    </a:ln>
                  </pic:spPr>
                </pic:pic>
              </a:graphicData>
            </a:graphic>
          </wp:inline>
        </w:drawing>
      </w:r>
    </w:p>
    <w:p w14:paraId="2DB10674" w14:textId="77777777" w:rsidR="003147DD" w:rsidRPr="007710BF" w:rsidRDefault="003147DD" w:rsidP="00E1656E">
      <w:pPr>
        <w:jc w:val="both"/>
        <w:rPr>
          <w:b/>
          <w:sz w:val="20"/>
          <w:szCs w:val="20"/>
          <w:highlight w:val="yellow"/>
        </w:rPr>
      </w:pPr>
    </w:p>
    <w:p w14:paraId="7B515479" w14:textId="77777777" w:rsidR="008B6AE7" w:rsidRPr="00E1068C" w:rsidRDefault="008B6AE7" w:rsidP="008B6AE7">
      <w:pPr>
        <w:jc w:val="both"/>
        <w:rPr>
          <w:b/>
          <w:color w:val="008000"/>
          <w:sz w:val="32"/>
        </w:rPr>
      </w:pPr>
      <w:r w:rsidRPr="00E1068C">
        <w:rPr>
          <w:b/>
          <w:color w:val="008000"/>
          <w:sz w:val="32"/>
        </w:rPr>
        <w:t xml:space="preserve">Purchase </w:t>
      </w:r>
      <w:r>
        <w:rPr>
          <w:b/>
          <w:color w:val="008000"/>
          <w:sz w:val="32"/>
        </w:rPr>
        <w:t>Stress</w:t>
      </w:r>
    </w:p>
    <w:p w14:paraId="7A2298F8" w14:textId="77777777" w:rsidR="008B6AE7" w:rsidRPr="001D657E" w:rsidRDefault="008B6AE7" w:rsidP="001A69A0">
      <w:pPr>
        <w:pStyle w:val="ListParagraph"/>
        <w:numPr>
          <w:ilvl w:val="0"/>
          <w:numId w:val="17"/>
        </w:numPr>
        <w:jc w:val="both"/>
        <w:rPr>
          <w:b/>
          <w:sz w:val="20"/>
          <w:szCs w:val="20"/>
        </w:rPr>
      </w:pPr>
      <w:r>
        <w:rPr>
          <w:sz w:val="22"/>
          <w:szCs w:val="22"/>
        </w:rPr>
        <w:t xml:space="preserve">In 2021 there were </w:t>
      </w:r>
      <w:r w:rsidR="00FC0C2A">
        <w:rPr>
          <w:sz w:val="22"/>
          <w:szCs w:val="22"/>
        </w:rPr>
        <w:t>1,526</w:t>
      </w:r>
      <w:r>
        <w:rPr>
          <w:sz w:val="22"/>
          <w:szCs w:val="22"/>
        </w:rPr>
        <w:t xml:space="preserve"> very low income households and </w:t>
      </w:r>
      <w:r w:rsidR="00FC0C2A">
        <w:rPr>
          <w:sz w:val="22"/>
          <w:szCs w:val="22"/>
        </w:rPr>
        <w:t>1,958</w:t>
      </w:r>
      <w:r>
        <w:rPr>
          <w:sz w:val="22"/>
          <w:szCs w:val="22"/>
        </w:rPr>
        <w:t xml:space="preserve"> low income households purchasing a home and in stress across the </w:t>
      </w:r>
      <w:r w:rsidR="00FC0C2A">
        <w:rPr>
          <w:sz w:val="22"/>
          <w:szCs w:val="22"/>
        </w:rPr>
        <w:t xml:space="preserve">Illawarra Shoalhaven </w:t>
      </w:r>
      <w:r>
        <w:rPr>
          <w:sz w:val="22"/>
          <w:szCs w:val="22"/>
        </w:rPr>
        <w:t xml:space="preserve">– that is, paying more than 30% of their income on their mortgage.  This represents </w:t>
      </w:r>
      <w:r w:rsidR="00FC0C2A">
        <w:rPr>
          <w:sz w:val="22"/>
          <w:szCs w:val="22"/>
        </w:rPr>
        <w:t>50.3</w:t>
      </w:r>
      <w:r>
        <w:rPr>
          <w:sz w:val="22"/>
          <w:szCs w:val="22"/>
        </w:rPr>
        <w:t>% of very low and low income purchasers in the region – a higher proportion than the average for the Rest of NSW at 43.9%.</w:t>
      </w:r>
    </w:p>
    <w:p w14:paraId="1C535B68" w14:textId="77777777" w:rsidR="008B6AE7" w:rsidRPr="002538EC" w:rsidRDefault="00FC0C2A" w:rsidP="001A69A0">
      <w:pPr>
        <w:pStyle w:val="ListParagraph"/>
        <w:numPr>
          <w:ilvl w:val="0"/>
          <w:numId w:val="17"/>
        </w:numPr>
        <w:jc w:val="both"/>
        <w:rPr>
          <w:b/>
          <w:sz w:val="20"/>
          <w:szCs w:val="20"/>
        </w:rPr>
      </w:pPr>
      <w:r>
        <w:rPr>
          <w:sz w:val="22"/>
          <w:szCs w:val="22"/>
        </w:rPr>
        <w:t>Wollongong</w:t>
      </w:r>
      <w:r w:rsidR="008B6AE7">
        <w:rPr>
          <w:sz w:val="22"/>
          <w:szCs w:val="22"/>
        </w:rPr>
        <w:t xml:space="preserve"> had the highest proportion with 5</w:t>
      </w:r>
      <w:r>
        <w:rPr>
          <w:sz w:val="22"/>
          <w:szCs w:val="22"/>
        </w:rPr>
        <w:t>4.4</w:t>
      </w:r>
      <w:r w:rsidR="008B6AE7">
        <w:rPr>
          <w:sz w:val="22"/>
          <w:szCs w:val="22"/>
        </w:rPr>
        <w:t xml:space="preserve">%, followed by </w:t>
      </w:r>
      <w:r>
        <w:rPr>
          <w:sz w:val="22"/>
          <w:szCs w:val="22"/>
        </w:rPr>
        <w:t>Shellharbour</w:t>
      </w:r>
      <w:r w:rsidR="008B6AE7">
        <w:rPr>
          <w:sz w:val="22"/>
          <w:szCs w:val="22"/>
        </w:rPr>
        <w:t xml:space="preserve"> with 5</w:t>
      </w:r>
      <w:r>
        <w:rPr>
          <w:sz w:val="22"/>
          <w:szCs w:val="22"/>
        </w:rPr>
        <w:t>1.2</w:t>
      </w:r>
      <w:r w:rsidR="008B6AE7">
        <w:rPr>
          <w:sz w:val="22"/>
          <w:szCs w:val="22"/>
        </w:rPr>
        <w:t>%</w:t>
      </w:r>
      <w:r>
        <w:rPr>
          <w:sz w:val="22"/>
          <w:szCs w:val="22"/>
        </w:rPr>
        <w:t>, then Kiama with 49.4% and Shoalhaven with 45.2%</w:t>
      </w:r>
      <w:r w:rsidR="008B6AE7">
        <w:rPr>
          <w:sz w:val="22"/>
          <w:szCs w:val="22"/>
        </w:rPr>
        <w:t xml:space="preserve">.  </w:t>
      </w:r>
    </w:p>
    <w:p w14:paraId="44E65B41" w14:textId="77777777" w:rsidR="008B6AE7" w:rsidRPr="001A69A0" w:rsidRDefault="00FC0C2A" w:rsidP="001A69A0">
      <w:pPr>
        <w:pStyle w:val="ListParagraph"/>
        <w:numPr>
          <w:ilvl w:val="0"/>
          <w:numId w:val="17"/>
        </w:numPr>
        <w:jc w:val="both"/>
        <w:rPr>
          <w:b/>
          <w:sz w:val="20"/>
          <w:szCs w:val="20"/>
        </w:rPr>
      </w:pPr>
      <w:r>
        <w:rPr>
          <w:sz w:val="22"/>
          <w:szCs w:val="22"/>
        </w:rPr>
        <w:t>Wollongong</w:t>
      </w:r>
      <w:r w:rsidR="008B6AE7">
        <w:rPr>
          <w:sz w:val="22"/>
          <w:szCs w:val="22"/>
        </w:rPr>
        <w:t xml:space="preserve"> had the highest number of very low and low income purchasers in stress with </w:t>
      </w:r>
      <w:r>
        <w:rPr>
          <w:sz w:val="22"/>
          <w:szCs w:val="22"/>
        </w:rPr>
        <w:t>2,881</w:t>
      </w:r>
      <w:r w:rsidR="008B6AE7">
        <w:rPr>
          <w:sz w:val="22"/>
          <w:szCs w:val="22"/>
        </w:rPr>
        <w:t xml:space="preserve">, followed by </w:t>
      </w:r>
      <w:r>
        <w:rPr>
          <w:sz w:val="22"/>
          <w:szCs w:val="22"/>
        </w:rPr>
        <w:t xml:space="preserve">Shoalhaven </w:t>
      </w:r>
      <w:r w:rsidR="008B6AE7">
        <w:rPr>
          <w:sz w:val="22"/>
          <w:szCs w:val="22"/>
        </w:rPr>
        <w:t>with 2,</w:t>
      </w:r>
      <w:r>
        <w:rPr>
          <w:sz w:val="22"/>
          <w:szCs w:val="22"/>
        </w:rPr>
        <w:t>468</w:t>
      </w:r>
      <w:r w:rsidR="008B6AE7">
        <w:rPr>
          <w:sz w:val="22"/>
          <w:szCs w:val="22"/>
        </w:rPr>
        <w:t xml:space="preserve">, </w:t>
      </w:r>
      <w:r>
        <w:rPr>
          <w:sz w:val="22"/>
          <w:szCs w:val="22"/>
        </w:rPr>
        <w:t>Shellharbour</w:t>
      </w:r>
      <w:r w:rsidR="008B6AE7">
        <w:rPr>
          <w:sz w:val="22"/>
          <w:szCs w:val="22"/>
        </w:rPr>
        <w:t xml:space="preserve"> with 1,</w:t>
      </w:r>
      <w:r>
        <w:rPr>
          <w:sz w:val="22"/>
          <w:szCs w:val="22"/>
        </w:rPr>
        <w:t>304</w:t>
      </w:r>
      <w:r w:rsidR="008B6AE7">
        <w:rPr>
          <w:sz w:val="22"/>
          <w:szCs w:val="22"/>
        </w:rPr>
        <w:t xml:space="preserve"> and </w:t>
      </w:r>
      <w:r>
        <w:rPr>
          <w:sz w:val="22"/>
          <w:szCs w:val="22"/>
        </w:rPr>
        <w:t xml:space="preserve">Kiama </w:t>
      </w:r>
      <w:r w:rsidR="008B6AE7">
        <w:rPr>
          <w:sz w:val="22"/>
          <w:szCs w:val="22"/>
        </w:rPr>
        <w:t xml:space="preserve">with </w:t>
      </w:r>
      <w:r>
        <w:rPr>
          <w:sz w:val="22"/>
          <w:szCs w:val="22"/>
        </w:rPr>
        <w:t>271</w:t>
      </w:r>
      <w:r w:rsidR="008B6AE7">
        <w:rPr>
          <w:sz w:val="22"/>
          <w:szCs w:val="22"/>
        </w:rPr>
        <w:t>.</w:t>
      </w:r>
    </w:p>
    <w:p w14:paraId="5447A879" w14:textId="77777777" w:rsidR="001A69A0" w:rsidRPr="001A69A0" w:rsidRDefault="001A69A0" w:rsidP="001A69A0">
      <w:pPr>
        <w:jc w:val="both"/>
        <w:rPr>
          <w:b/>
          <w:sz w:val="20"/>
          <w:szCs w:val="20"/>
        </w:rPr>
      </w:pPr>
    </w:p>
    <w:p w14:paraId="5C171E52" w14:textId="77777777" w:rsidR="00E1656E" w:rsidRPr="005E3BD0" w:rsidRDefault="00FC0C2A" w:rsidP="00E1656E">
      <w:pPr>
        <w:jc w:val="both"/>
        <w:rPr>
          <w:sz w:val="20"/>
          <w:szCs w:val="20"/>
        </w:rPr>
      </w:pPr>
      <w:r w:rsidRPr="00FC0C2A">
        <w:rPr>
          <w:noProof/>
        </w:rPr>
        <w:lastRenderedPageBreak/>
        <w:drawing>
          <wp:inline distT="0" distB="0" distL="0" distR="0" wp14:anchorId="5288310F" wp14:editId="4DCF00BD">
            <wp:extent cx="6002639" cy="20288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10661" cy="2031536"/>
                    </a:xfrm>
                    <a:prstGeom prst="rect">
                      <a:avLst/>
                    </a:prstGeom>
                    <a:noFill/>
                    <a:ln>
                      <a:noFill/>
                    </a:ln>
                  </pic:spPr>
                </pic:pic>
              </a:graphicData>
            </a:graphic>
          </wp:inline>
        </w:drawing>
      </w:r>
    </w:p>
    <w:p w14:paraId="7DF30CFF" w14:textId="77777777" w:rsidR="001A69A0" w:rsidRPr="001A69A0" w:rsidRDefault="001A69A0" w:rsidP="001A69A0">
      <w:pPr>
        <w:jc w:val="both"/>
        <w:rPr>
          <w:sz w:val="22"/>
          <w:szCs w:val="22"/>
        </w:rPr>
      </w:pPr>
    </w:p>
    <w:p w14:paraId="70469156" w14:textId="77777777" w:rsidR="001A69A0" w:rsidRPr="001A69A0" w:rsidRDefault="001A69A0" w:rsidP="001A69A0">
      <w:pPr>
        <w:jc w:val="both"/>
        <w:rPr>
          <w:sz w:val="22"/>
          <w:szCs w:val="22"/>
        </w:rPr>
      </w:pPr>
    </w:p>
    <w:p w14:paraId="5E429670" w14:textId="77777777" w:rsidR="001A69A0" w:rsidRDefault="001A69A0" w:rsidP="001A69A0">
      <w:pPr>
        <w:pStyle w:val="ListParagraph"/>
        <w:numPr>
          <w:ilvl w:val="0"/>
          <w:numId w:val="18"/>
        </w:numPr>
        <w:jc w:val="both"/>
        <w:rPr>
          <w:sz w:val="22"/>
          <w:szCs w:val="22"/>
        </w:rPr>
      </w:pPr>
      <w:r>
        <w:rPr>
          <w:sz w:val="22"/>
          <w:szCs w:val="22"/>
        </w:rPr>
        <w:t xml:space="preserve">However the number of very low and low income purchasers in stress is significantly lower than the number of very low and low income renters in stress in the region, as the graph below demonstrates.  </w:t>
      </w:r>
    </w:p>
    <w:p w14:paraId="3B922CD1" w14:textId="77777777" w:rsidR="001A69A0" w:rsidRPr="001D657E" w:rsidRDefault="001A69A0" w:rsidP="001A69A0">
      <w:pPr>
        <w:pStyle w:val="ListParagraph"/>
        <w:numPr>
          <w:ilvl w:val="0"/>
          <w:numId w:val="18"/>
        </w:numPr>
        <w:jc w:val="both"/>
        <w:rPr>
          <w:sz w:val="22"/>
          <w:szCs w:val="22"/>
        </w:rPr>
      </w:pPr>
      <w:r>
        <w:rPr>
          <w:sz w:val="22"/>
          <w:szCs w:val="22"/>
        </w:rPr>
        <w:t>This indicates that there is a stronger need for more affordable housing for lower income renters than purchasers in the Illawarra Shoalhaven.</w:t>
      </w:r>
    </w:p>
    <w:p w14:paraId="71CE1781" w14:textId="77777777" w:rsidR="00FC0C2A" w:rsidRPr="007710BF" w:rsidRDefault="00FC0C2A" w:rsidP="00E1656E">
      <w:pPr>
        <w:jc w:val="both"/>
        <w:rPr>
          <w:sz w:val="20"/>
          <w:szCs w:val="20"/>
          <w:highlight w:val="yellow"/>
        </w:rPr>
      </w:pPr>
      <w:r w:rsidRPr="00FC0C2A">
        <w:rPr>
          <w:noProof/>
          <w:sz w:val="20"/>
          <w:szCs w:val="20"/>
        </w:rPr>
        <w:drawing>
          <wp:inline distT="0" distB="0" distL="0" distR="0" wp14:anchorId="195C28E8" wp14:editId="7F9A0260">
            <wp:extent cx="5834380" cy="30302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34380" cy="3030220"/>
                    </a:xfrm>
                    <a:prstGeom prst="rect">
                      <a:avLst/>
                    </a:prstGeom>
                    <a:noFill/>
                  </pic:spPr>
                </pic:pic>
              </a:graphicData>
            </a:graphic>
          </wp:inline>
        </w:drawing>
      </w:r>
    </w:p>
    <w:p w14:paraId="0A6897F1" w14:textId="77777777" w:rsidR="00E1656E" w:rsidRDefault="00E1656E" w:rsidP="00E1656E">
      <w:pPr>
        <w:jc w:val="both"/>
        <w:rPr>
          <w:sz w:val="20"/>
          <w:szCs w:val="20"/>
          <w:highlight w:val="yellow"/>
        </w:rPr>
      </w:pPr>
    </w:p>
    <w:p w14:paraId="6999B790" w14:textId="77777777" w:rsidR="001A69A0" w:rsidRPr="007710BF" w:rsidRDefault="001A69A0" w:rsidP="00E1656E">
      <w:pPr>
        <w:jc w:val="both"/>
        <w:rPr>
          <w:sz w:val="20"/>
          <w:szCs w:val="20"/>
          <w:highlight w:val="yellow"/>
        </w:rPr>
      </w:pPr>
    </w:p>
    <w:p w14:paraId="4924064C" w14:textId="77777777" w:rsidR="00E1656E" w:rsidRPr="00281439" w:rsidRDefault="00E1656E" w:rsidP="00E1656E">
      <w:pPr>
        <w:jc w:val="both"/>
        <w:rPr>
          <w:b/>
          <w:color w:val="008000"/>
          <w:sz w:val="32"/>
        </w:rPr>
      </w:pPr>
      <w:r w:rsidRPr="00281439">
        <w:rPr>
          <w:b/>
          <w:color w:val="008000"/>
          <w:sz w:val="32"/>
        </w:rPr>
        <w:t>Additional Data</w:t>
      </w:r>
    </w:p>
    <w:p w14:paraId="06127C89" w14:textId="77777777" w:rsidR="00E1656E" w:rsidRPr="00EC3534" w:rsidRDefault="00E1656E" w:rsidP="00E1656E">
      <w:pPr>
        <w:jc w:val="both"/>
        <w:rPr>
          <w:sz w:val="22"/>
          <w:szCs w:val="22"/>
        </w:rPr>
      </w:pPr>
      <w:r w:rsidRPr="00EC3534">
        <w:rPr>
          <w:sz w:val="22"/>
          <w:szCs w:val="22"/>
        </w:rPr>
        <w:t>Additional data on rents and sale prices, including both current and historical data, is available from the Rent and Sales Report on the Housing NSW website at:</w:t>
      </w:r>
    </w:p>
    <w:p w14:paraId="0E404EF7" w14:textId="77777777" w:rsidR="00E1656E" w:rsidRPr="00EC3534" w:rsidRDefault="00C01EB2" w:rsidP="00E1656E">
      <w:pPr>
        <w:jc w:val="both"/>
        <w:rPr>
          <w:sz w:val="22"/>
          <w:szCs w:val="22"/>
        </w:rPr>
      </w:pPr>
      <w:hyperlink r:id="rId35" w:history="1">
        <w:r w:rsidR="00E1656E" w:rsidRPr="00EC3534">
          <w:rPr>
            <w:rStyle w:val="Hyperlink"/>
            <w:sz w:val="22"/>
            <w:szCs w:val="22"/>
          </w:rPr>
          <w:t>http://www.housing.nsw.gov.au/About+Us/Reports+Plans+and+Papers/Rent+and+Sales+Reports/</w:t>
        </w:r>
      </w:hyperlink>
    </w:p>
    <w:p w14:paraId="5422203D" w14:textId="77777777" w:rsidR="00E1656E" w:rsidRPr="00EC3534" w:rsidRDefault="00E1656E" w:rsidP="00E1656E">
      <w:pPr>
        <w:jc w:val="both"/>
        <w:rPr>
          <w:sz w:val="22"/>
          <w:szCs w:val="22"/>
        </w:rPr>
      </w:pPr>
      <w:r w:rsidRPr="00EC3534">
        <w:rPr>
          <w:sz w:val="22"/>
          <w:szCs w:val="22"/>
        </w:rPr>
        <w:t>More detailed housing data and tables used in this Snapshot are available from the Local Government Housing Kit Database on the Housing NSW website at:</w:t>
      </w:r>
    </w:p>
    <w:p w14:paraId="3C3B9B14" w14:textId="77777777" w:rsidR="00E1656E" w:rsidRPr="00EC3534" w:rsidRDefault="00C01EB2" w:rsidP="00E1656E">
      <w:pPr>
        <w:jc w:val="both"/>
        <w:rPr>
          <w:sz w:val="22"/>
          <w:szCs w:val="22"/>
        </w:rPr>
      </w:pPr>
      <w:hyperlink r:id="rId36" w:history="1">
        <w:r w:rsidR="00E1656E" w:rsidRPr="00EC3534">
          <w:rPr>
            <w:rStyle w:val="Hyperlink"/>
            <w:sz w:val="22"/>
            <w:szCs w:val="22"/>
          </w:rPr>
          <w:t>http://www.housing.nsw.gov.au/Centre+For+Affordable+Housing/NSW+Local+Government+Housing+Kit/Local+Government+Housing+Kit+Database/</w:t>
        </w:r>
      </w:hyperlink>
    </w:p>
    <w:p w14:paraId="55B91CB7" w14:textId="77777777" w:rsidR="00E1656E" w:rsidRPr="00EC3534" w:rsidRDefault="00E1656E" w:rsidP="00E1656E">
      <w:pPr>
        <w:jc w:val="both"/>
        <w:rPr>
          <w:sz w:val="22"/>
          <w:szCs w:val="22"/>
        </w:rPr>
      </w:pPr>
      <w:r w:rsidRPr="00EC3534">
        <w:rPr>
          <w:sz w:val="22"/>
          <w:szCs w:val="22"/>
        </w:rPr>
        <w:t>More information on vacancy rates is available from the Real Estate Institute of NSW website (see their media releases on vacancy rates):</w:t>
      </w:r>
    </w:p>
    <w:p w14:paraId="398F7924" w14:textId="77777777" w:rsidR="0050388E" w:rsidRPr="00E56065" w:rsidRDefault="00C01EB2" w:rsidP="0070152B">
      <w:pPr>
        <w:jc w:val="both"/>
        <w:rPr>
          <w:szCs w:val="22"/>
        </w:rPr>
      </w:pPr>
      <w:hyperlink r:id="rId37" w:history="1">
        <w:r w:rsidR="00E1656E" w:rsidRPr="00EC3534">
          <w:rPr>
            <w:rStyle w:val="Hyperlink"/>
            <w:sz w:val="22"/>
            <w:szCs w:val="22"/>
          </w:rPr>
          <w:t>https://www.reinsw.com.au/</w:t>
        </w:r>
      </w:hyperlink>
    </w:p>
    <w:p w14:paraId="502719B1" w14:textId="77777777" w:rsidR="009D2867" w:rsidRPr="0050388E" w:rsidRDefault="009D2867" w:rsidP="0050388E"/>
    <w:sectPr w:rsidR="009D2867" w:rsidRPr="0050388E" w:rsidSect="00BB657B">
      <w:headerReference w:type="default" r:id="rId38"/>
      <w:footerReference w:type="default" r:id="rId39"/>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A99D" w14:textId="77777777" w:rsidR="00564A6D" w:rsidRDefault="00564A6D">
      <w:r>
        <w:separator/>
      </w:r>
    </w:p>
  </w:endnote>
  <w:endnote w:type="continuationSeparator" w:id="0">
    <w:p w14:paraId="4450576D"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AA5" w14:textId="77777777" w:rsidR="00D60132" w:rsidRPr="00EC070F" w:rsidRDefault="00D60132">
    <w:pPr>
      <w:pStyle w:val="Footer"/>
      <w:rPr>
        <w:rFonts w:cs="Arial"/>
        <w:color w:val="4C8C2B"/>
      </w:rPr>
    </w:pPr>
    <w:r w:rsidRPr="00EC070F">
      <w:rPr>
        <w:rFonts w:cs="Arial"/>
        <w:color w:val="4C8C2B"/>
      </w:rPr>
      <w:t>www.</w:t>
    </w:r>
    <w:r w:rsidR="007E6506" w:rsidRPr="00EC070F">
      <w:rPr>
        <w:rFonts w:cs="Arial"/>
        <w:color w:val="4C8C2B"/>
      </w:rPr>
      <w:t>facs</w:t>
    </w:r>
    <w:r w:rsidRPr="00EC070F">
      <w:rPr>
        <w:rFonts w:cs="Arial"/>
        <w:color w:val="4C8C2B"/>
      </w:rPr>
      <w:t xml:space="preserve">.nsw.gov.au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229F" w14:textId="77777777" w:rsidR="00564A6D" w:rsidRDefault="00564A6D">
      <w:r>
        <w:separator/>
      </w:r>
    </w:p>
  </w:footnote>
  <w:footnote w:type="continuationSeparator" w:id="0">
    <w:p w14:paraId="7C56A15A"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DF56"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7D81AF3B" wp14:editId="732C5966">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268AAB54"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055C04"/>
    <w:multiLevelType w:val="hybridMultilevel"/>
    <w:tmpl w:val="967810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90109D"/>
    <w:multiLevelType w:val="hybridMultilevel"/>
    <w:tmpl w:val="9D06948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404729"/>
    <w:multiLevelType w:val="hybridMultilevel"/>
    <w:tmpl w:val="371A4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C16789"/>
    <w:multiLevelType w:val="hybridMultilevel"/>
    <w:tmpl w:val="9A402A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681645"/>
    <w:multiLevelType w:val="hybridMultilevel"/>
    <w:tmpl w:val="7C1CD2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1C764B"/>
    <w:multiLevelType w:val="hybridMultilevel"/>
    <w:tmpl w:val="1B8A05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A50F0A"/>
    <w:multiLevelType w:val="hybridMultilevel"/>
    <w:tmpl w:val="75BAFC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128B6"/>
    <w:multiLevelType w:val="hybridMultilevel"/>
    <w:tmpl w:val="340AB4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283074178">
    <w:abstractNumId w:val="14"/>
  </w:num>
  <w:num w:numId="2" w16cid:durableId="1978563799">
    <w:abstractNumId w:val="4"/>
  </w:num>
  <w:num w:numId="3" w16cid:durableId="1461261901">
    <w:abstractNumId w:val="10"/>
  </w:num>
  <w:num w:numId="4" w16cid:durableId="2035377161">
    <w:abstractNumId w:val="11"/>
  </w:num>
  <w:num w:numId="5" w16cid:durableId="226381859">
    <w:abstractNumId w:val="17"/>
  </w:num>
  <w:num w:numId="6" w16cid:durableId="1472796028">
    <w:abstractNumId w:val="1"/>
  </w:num>
  <w:num w:numId="7" w16cid:durableId="212271655">
    <w:abstractNumId w:val="2"/>
  </w:num>
  <w:num w:numId="8" w16cid:durableId="1052146962">
    <w:abstractNumId w:val="5"/>
  </w:num>
  <w:num w:numId="9" w16cid:durableId="1265189530">
    <w:abstractNumId w:val="7"/>
  </w:num>
  <w:num w:numId="10" w16cid:durableId="2045061985">
    <w:abstractNumId w:val="8"/>
  </w:num>
  <w:num w:numId="11" w16cid:durableId="1823736767">
    <w:abstractNumId w:val="3"/>
  </w:num>
  <w:num w:numId="12" w16cid:durableId="321664435">
    <w:abstractNumId w:val="6"/>
  </w:num>
  <w:num w:numId="13" w16cid:durableId="789011001">
    <w:abstractNumId w:val="15"/>
  </w:num>
  <w:num w:numId="14" w16cid:durableId="830173225">
    <w:abstractNumId w:val="9"/>
  </w:num>
  <w:num w:numId="15" w16cid:durableId="1202475191">
    <w:abstractNumId w:val="0"/>
  </w:num>
  <w:num w:numId="16" w16cid:durableId="1335180962">
    <w:abstractNumId w:val="13"/>
  </w:num>
  <w:num w:numId="17" w16cid:durableId="1040588894">
    <w:abstractNumId w:val="12"/>
  </w:num>
  <w:num w:numId="18" w16cid:durableId="170906441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27D"/>
    <w:rsid w:val="0000107F"/>
    <w:rsid w:val="000020E7"/>
    <w:rsid w:val="00002385"/>
    <w:rsid w:val="0000537C"/>
    <w:rsid w:val="000073E7"/>
    <w:rsid w:val="00011380"/>
    <w:rsid w:val="00011BCE"/>
    <w:rsid w:val="000128F8"/>
    <w:rsid w:val="000148F5"/>
    <w:rsid w:val="00014DFA"/>
    <w:rsid w:val="00014F49"/>
    <w:rsid w:val="0001509B"/>
    <w:rsid w:val="0001657D"/>
    <w:rsid w:val="000167B9"/>
    <w:rsid w:val="0002002B"/>
    <w:rsid w:val="0002385F"/>
    <w:rsid w:val="000238BE"/>
    <w:rsid w:val="00025B62"/>
    <w:rsid w:val="0002652D"/>
    <w:rsid w:val="0002705A"/>
    <w:rsid w:val="000301A0"/>
    <w:rsid w:val="00030840"/>
    <w:rsid w:val="000329C1"/>
    <w:rsid w:val="000331DB"/>
    <w:rsid w:val="00033A9F"/>
    <w:rsid w:val="0003643E"/>
    <w:rsid w:val="000406DD"/>
    <w:rsid w:val="000411E5"/>
    <w:rsid w:val="00042E77"/>
    <w:rsid w:val="0004492A"/>
    <w:rsid w:val="00045AF7"/>
    <w:rsid w:val="00047744"/>
    <w:rsid w:val="00050277"/>
    <w:rsid w:val="000545D9"/>
    <w:rsid w:val="00054D7D"/>
    <w:rsid w:val="000610BC"/>
    <w:rsid w:val="00062436"/>
    <w:rsid w:val="00064BA4"/>
    <w:rsid w:val="00067E94"/>
    <w:rsid w:val="00071F45"/>
    <w:rsid w:val="0007285B"/>
    <w:rsid w:val="0007502D"/>
    <w:rsid w:val="0007553F"/>
    <w:rsid w:val="00075B28"/>
    <w:rsid w:val="0007698C"/>
    <w:rsid w:val="0007784F"/>
    <w:rsid w:val="000808D2"/>
    <w:rsid w:val="000825C2"/>
    <w:rsid w:val="0008467A"/>
    <w:rsid w:val="00086B8E"/>
    <w:rsid w:val="0009596E"/>
    <w:rsid w:val="00095D8D"/>
    <w:rsid w:val="00096208"/>
    <w:rsid w:val="00096EE0"/>
    <w:rsid w:val="000A0F1E"/>
    <w:rsid w:val="000A5290"/>
    <w:rsid w:val="000A5608"/>
    <w:rsid w:val="000A592C"/>
    <w:rsid w:val="000A6642"/>
    <w:rsid w:val="000A7162"/>
    <w:rsid w:val="000B1862"/>
    <w:rsid w:val="000B2634"/>
    <w:rsid w:val="000B2A74"/>
    <w:rsid w:val="000B3A4A"/>
    <w:rsid w:val="000B3FA4"/>
    <w:rsid w:val="000B56D8"/>
    <w:rsid w:val="000B61E9"/>
    <w:rsid w:val="000B75EB"/>
    <w:rsid w:val="000C0268"/>
    <w:rsid w:val="000C3B4F"/>
    <w:rsid w:val="000C662F"/>
    <w:rsid w:val="000C6B1E"/>
    <w:rsid w:val="000D12D3"/>
    <w:rsid w:val="000D2599"/>
    <w:rsid w:val="000D75B6"/>
    <w:rsid w:val="000D7FA3"/>
    <w:rsid w:val="000E078B"/>
    <w:rsid w:val="000E182F"/>
    <w:rsid w:val="000E1E21"/>
    <w:rsid w:val="000E2512"/>
    <w:rsid w:val="000E3ABD"/>
    <w:rsid w:val="000E5B59"/>
    <w:rsid w:val="000E7008"/>
    <w:rsid w:val="000F053E"/>
    <w:rsid w:val="000F249F"/>
    <w:rsid w:val="000F3370"/>
    <w:rsid w:val="000F461F"/>
    <w:rsid w:val="000F6CE6"/>
    <w:rsid w:val="000F6F9D"/>
    <w:rsid w:val="00101958"/>
    <w:rsid w:val="00104FC4"/>
    <w:rsid w:val="00113B05"/>
    <w:rsid w:val="00117158"/>
    <w:rsid w:val="001174B1"/>
    <w:rsid w:val="00122CAE"/>
    <w:rsid w:val="0012441C"/>
    <w:rsid w:val="0013027E"/>
    <w:rsid w:val="00131EA4"/>
    <w:rsid w:val="00132456"/>
    <w:rsid w:val="00132F07"/>
    <w:rsid w:val="0013363D"/>
    <w:rsid w:val="001344D3"/>
    <w:rsid w:val="001344DC"/>
    <w:rsid w:val="00135905"/>
    <w:rsid w:val="00137892"/>
    <w:rsid w:val="00137F70"/>
    <w:rsid w:val="00140885"/>
    <w:rsid w:val="00142DBC"/>
    <w:rsid w:val="00143399"/>
    <w:rsid w:val="001441BA"/>
    <w:rsid w:val="00146DD9"/>
    <w:rsid w:val="001501E7"/>
    <w:rsid w:val="00151375"/>
    <w:rsid w:val="001513E0"/>
    <w:rsid w:val="001517A4"/>
    <w:rsid w:val="00152CFA"/>
    <w:rsid w:val="001537A4"/>
    <w:rsid w:val="00153F28"/>
    <w:rsid w:val="00156081"/>
    <w:rsid w:val="00162916"/>
    <w:rsid w:val="00163B75"/>
    <w:rsid w:val="00165BCC"/>
    <w:rsid w:val="0016630F"/>
    <w:rsid w:val="001663F4"/>
    <w:rsid w:val="001669DC"/>
    <w:rsid w:val="0017182A"/>
    <w:rsid w:val="00171F63"/>
    <w:rsid w:val="001742EA"/>
    <w:rsid w:val="00175CFF"/>
    <w:rsid w:val="0017634D"/>
    <w:rsid w:val="001769EC"/>
    <w:rsid w:val="00182CDB"/>
    <w:rsid w:val="00184737"/>
    <w:rsid w:val="001909CA"/>
    <w:rsid w:val="00197B58"/>
    <w:rsid w:val="001A0A02"/>
    <w:rsid w:val="001A69A0"/>
    <w:rsid w:val="001B00B6"/>
    <w:rsid w:val="001B17A1"/>
    <w:rsid w:val="001B27D6"/>
    <w:rsid w:val="001B2A55"/>
    <w:rsid w:val="001B3A46"/>
    <w:rsid w:val="001B4A6B"/>
    <w:rsid w:val="001B4D62"/>
    <w:rsid w:val="001B79B1"/>
    <w:rsid w:val="001C15E4"/>
    <w:rsid w:val="001C236A"/>
    <w:rsid w:val="001C2BF8"/>
    <w:rsid w:val="001C37D4"/>
    <w:rsid w:val="001C6396"/>
    <w:rsid w:val="001C71A1"/>
    <w:rsid w:val="001D0C88"/>
    <w:rsid w:val="001D144E"/>
    <w:rsid w:val="001D3CC0"/>
    <w:rsid w:val="001D77A4"/>
    <w:rsid w:val="001E12EE"/>
    <w:rsid w:val="001E1D5E"/>
    <w:rsid w:val="001E556C"/>
    <w:rsid w:val="001E783A"/>
    <w:rsid w:val="001F2B5D"/>
    <w:rsid w:val="001F3B60"/>
    <w:rsid w:val="001F46C1"/>
    <w:rsid w:val="001F5B89"/>
    <w:rsid w:val="001F5E9F"/>
    <w:rsid w:val="001F777F"/>
    <w:rsid w:val="002010FF"/>
    <w:rsid w:val="00201EC7"/>
    <w:rsid w:val="00202F1C"/>
    <w:rsid w:val="00203AFA"/>
    <w:rsid w:val="00203F4C"/>
    <w:rsid w:val="00206468"/>
    <w:rsid w:val="0021405C"/>
    <w:rsid w:val="002140CA"/>
    <w:rsid w:val="00214FA0"/>
    <w:rsid w:val="00215557"/>
    <w:rsid w:val="002162B2"/>
    <w:rsid w:val="00217B75"/>
    <w:rsid w:val="00220972"/>
    <w:rsid w:val="00223136"/>
    <w:rsid w:val="00226F44"/>
    <w:rsid w:val="002307C5"/>
    <w:rsid w:val="00231827"/>
    <w:rsid w:val="0023354E"/>
    <w:rsid w:val="00234950"/>
    <w:rsid w:val="00235151"/>
    <w:rsid w:val="00235EA1"/>
    <w:rsid w:val="00237B30"/>
    <w:rsid w:val="002407D0"/>
    <w:rsid w:val="002422C8"/>
    <w:rsid w:val="00245811"/>
    <w:rsid w:val="002527DA"/>
    <w:rsid w:val="002552D9"/>
    <w:rsid w:val="0026232D"/>
    <w:rsid w:val="00262CF8"/>
    <w:rsid w:val="0026359F"/>
    <w:rsid w:val="00263903"/>
    <w:rsid w:val="00266AEE"/>
    <w:rsid w:val="00266ECB"/>
    <w:rsid w:val="00270797"/>
    <w:rsid w:val="002718EB"/>
    <w:rsid w:val="00271FF2"/>
    <w:rsid w:val="0027324C"/>
    <w:rsid w:val="00273BD2"/>
    <w:rsid w:val="002759E0"/>
    <w:rsid w:val="002805F3"/>
    <w:rsid w:val="002823DF"/>
    <w:rsid w:val="0028254B"/>
    <w:rsid w:val="00283423"/>
    <w:rsid w:val="0028595F"/>
    <w:rsid w:val="00285DA3"/>
    <w:rsid w:val="00285F8B"/>
    <w:rsid w:val="00294596"/>
    <w:rsid w:val="002952BF"/>
    <w:rsid w:val="002976C9"/>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1989"/>
    <w:rsid w:val="002E23C3"/>
    <w:rsid w:val="002E4809"/>
    <w:rsid w:val="002E5E5E"/>
    <w:rsid w:val="002E7126"/>
    <w:rsid w:val="002F11C1"/>
    <w:rsid w:val="002F194D"/>
    <w:rsid w:val="002F1BF6"/>
    <w:rsid w:val="002F3AFB"/>
    <w:rsid w:val="002F4E30"/>
    <w:rsid w:val="002F5488"/>
    <w:rsid w:val="002F61A0"/>
    <w:rsid w:val="002F7EDC"/>
    <w:rsid w:val="00300844"/>
    <w:rsid w:val="003033E8"/>
    <w:rsid w:val="00305829"/>
    <w:rsid w:val="00307395"/>
    <w:rsid w:val="00307D53"/>
    <w:rsid w:val="0031124B"/>
    <w:rsid w:val="003117CD"/>
    <w:rsid w:val="003147DD"/>
    <w:rsid w:val="00315796"/>
    <w:rsid w:val="003173AB"/>
    <w:rsid w:val="00320D58"/>
    <w:rsid w:val="003306A3"/>
    <w:rsid w:val="00330901"/>
    <w:rsid w:val="00333D00"/>
    <w:rsid w:val="00334EDE"/>
    <w:rsid w:val="0033547A"/>
    <w:rsid w:val="0034140D"/>
    <w:rsid w:val="003433C7"/>
    <w:rsid w:val="00343FC0"/>
    <w:rsid w:val="003451FB"/>
    <w:rsid w:val="003511BA"/>
    <w:rsid w:val="003514DE"/>
    <w:rsid w:val="003519E4"/>
    <w:rsid w:val="00351E80"/>
    <w:rsid w:val="0035247A"/>
    <w:rsid w:val="00352D3F"/>
    <w:rsid w:val="003560A6"/>
    <w:rsid w:val="00360C09"/>
    <w:rsid w:val="00360EA0"/>
    <w:rsid w:val="003612DA"/>
    <w:rsid w:val="00371240"/>
    <w:rsid w:val="0037151D"/>
    <w:rsid w:val="00373822"/>
    <w:rsid w:val="00374198"/>
    <w:rsid w:val="00374CE3"/>
    <w:rsid w:val="00382A45"/>
    <w:rsid w:val="00382DD2"/>
    <w:rsid w:val="00383F13"/>
    <w:rsid w:val="003864CF"/>
    <w:rsid w:val="003869F8"/>
    <w:rsid w:val="00393363"/>
    <w:rsid w:val="00394F0A"/>
    <w:rsid w:val="00395DA8"/>
    <w:rsid w:val="003A0D8E"/>
    <w:rsid w:val="003A2183"/>
    <w:rsid w:val="003A2DAE"/>
    <w:rsid w:val="003A5B11"/>
    <w:rsid w:val="003A60EC"/>
    <w:rsid w:val="003A66E0"/>
    <w:rsid w:val="003A6E37"/>
    <w:rsid w:val="003A74D7"/>
    <w:rsid w:val="003B109B"/>
    <w:rsid w:val="003B1954"/>
    <w:rsid w:val="003B2029"/>
    <w:rsid w:val="003B312B"/>
    <w:rsid w:val="003B4FA9"/>
    <w:rsid w:val="003B5958"/>
    <w:rsid w:val="003B76E6"/>
    <w:rsid w:val="003B7C6B"/>
    <w:rsid w:val="003C497F"/>
    <w:rsid w:val="003D3F7D"/>
    <w:rsid w:val="003D6256"/>
    <w:rsid w:val="003D69FF"/>
    <w:rsid w:val="003D74B2"/>
    <w:rsid w:val="003E027E"/>
    <w:rsid w:val="003E040E"/>
    <w:rsid w:val="003E2B10"/>
    <w:rsid w:val="003E3494"/>
    <w:rsid w:val="003E3AC9"/>
    <w:rsid w:val="003F0F71"/>
    <w:rsid w:val="003F12EE"/>
    <w:rsid w:val="003F1D65"/>
    <w:rsid w:val="003F4AE1"/>
    <w:rsid w:val="003F5D47"/>
    <w:rsid w:val="003F65FD"/>
    <w:rsid w:val="003F7832"/>
    <w:rsid w:val="00403E95"/>
    <w:rsid w:val="00403ECB"/>
    <w:rsid w:val="00404713"/>
    <w:rsid w:val="00413496"/>
    <w:rsid w:val="00414BFB"/>
    <w:rsid w:val="00415351"/>
    <w:rsid w:val="004157A1"/>
    <w:rsid w:val="0041637F"/>
    <w:rsid w:val="00417530"/>
    <w:rsid w:val="004209CB"/>
    <w:rsid w:val="00421277"/>
    <w:rsid w:val="004226F2"/>
    <w:rsid w:val="00422F58"/>
    <w:rsid w:val="004250D1"/>
    <w:rsid w:val="00426C75"/>
    <w:rsid w:val="00426CCF"/>
    <w:rsid w:val="0042762C"/>
    <w:rsid w:val="0043154E"/>
    <w:rsid w:val="00431C7D"/>
    <w:rsid w:val="00432E44"/>
    <w:rsid w:val="00433911"/>
    <w:rsid w:val="00433F77"/>
    <w:rsid w:val="00435FBE"/>
    <w:rsid w:val="0043730B"/>
    <w:rsid w:val="00437E31"/>
    <w:rsid w:val="00443223"/>
    <w:rsid w:val="004450E5"/>
    <w:rsid w:val="0044770C"/>
    <w:rsid w:val="0044771E"/>
    <w:rsid w:val="004514ED"/>
    <w:rsid w:val="00456D1B"/>
    <w:rsid w:val="004578D4"/>
    <w:rsid w:val="00462C0D"/>
    <w:rsid w:val="00463348"/>
    <w:rsid w:val="00463693"/>
    <w:rsid w:val="00465278"/>
    <w:rsid w:val="00465B77"/>
    <w:rsid w:val="00465CA9"/>
    <w:rsid w:val="00466F42"/>
    <w:rsid w:val="00471904"/>
    <w:rsid w:val="00471FED"/>
    <w:rsid w:val="00472613"/>
    <w:rsid w:val="00474D1F"/>
    <w:rsid w:val="00477082"/>
    <w:rsid w:val="0047716D"/>
    <w:rsid w:val="00477ABE"/>
    <w:rsid w:val="00482A4A"/>
    <w:rsid w:val="00483E4D"/>
    <w:rsid w:val="00484FED"/>
    <w:rsid w:val="00486ADF"/>
    <w:rsid w:val="00487C45"/>
    <w:rsid w:val="004905D6"/>
    <w:rsid w:val="004909FF"/>
    <w:rsid w:val="00491DB5"/>
    <w:rsid w:val="00492B05"/>
    <w:rsid w:val="004955BF"/>
    <w:rsid w:val="00497695"/>
    <w:rsid w:val="00497A81"/>
    <w:rsid w:val="004A39D0"/>
    <w:rsid w:val="004A58FB"/>
    <w:rsid w:val="004B4725"/>
    <w:rsid w:val="004B47D6"/>
    <w:rsid w:val="004B73E4"/>
    <w:rsid w:val="004C341F"/>
    <w:rsid w:val="004C4253"/>
    <w:rsid w:val="004C46B8"/>
    <w:rsid w:val="004C4868"/>
    <w:rsid w:val="004C74B6"/>
    <w:rsid w:val="004C7CEB"/>
    <w:rsid w:val="004D006D"/>
    <w:rsid w:val="004D3681"/>
    <w:rsid w:val="004D5B8A"/>
    <w:rsid w:val="004D5D40"/>
    <w:rsid w:val="004D7EA7"/>
    <w:rsid w:val="004E385D"/>
    <w:rsid w:val="004E5367"/>
    <w:rsid w:val="004E5AF2"/>
    <w:rsid w:val="004E63F8"/>
    <w:rsid w:val="004F3997"/>
    <w:rsid w:val="004F5225"/>
    <w:rsid w:val="004F68F4"/>
    <w:rsid w:val="00500814"/>
    <w:rsid w:val="00501A40"/>
    <w:rsid w:val="0050388E"/>
    <w:rsid w:val="0050731C"/>
    <w:rsid w:val="00512431"/>
    <w:rsid w:val="005138C1"/>
    <w:rsid w:val="00513B31"/>
    <w:rsid w:val="00514203"/>
    <w:rsid w:val="00515388"/>
    <w:rsid w:val="005176D3"/>
    <w:rsid w:val="00517D85"/>
    <w:rsid w:val="00532867"/>
    <w:rsid w:val="00535BFF"/>
    <w:rsid w:val="005362AF"/>
    <w:rsid w:val="00537C3A"/>
    <w:rsid w:val="00540306"/>
    <w:rsid w:val="00540BEA"/>
    <w:rsid w:val="00542D54"/>
    <w:rsid w:val="005501FF"/>
    <w:rsid w:val="00552DEE"/>
    <w:rsid w:val="00555F5C"/>
    <w:rsid w:val="00557D72"/>
    <w:rsid w:val="0056136E"/>
    <w:rsid w:val="005641BC"/>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5F2"/>
    <w:rsid w:val="005A576C"/>
    <w:rsid w:val="005A5F47"/>
    <w:rsid w:val="005A74E6"/>
    <w:rsid w:val="005B03F0"/>
    <w:rsid w:val="005B05EB"/>
    <w:rsid w:val="005B3E6F"/>
    <w:rsid w:val="005B4138"/>
    <w:rsid w:val="005B72A1"/>
    <w:rsid w:val="005C03C7"/>
    <w:rsid w:val="005C0C76"/>
    <w:rsid w:val="005C1A32"/>
    <w:rsid w:val="005C3829"/>
    <w:rsid w:val="005D0369"/>
    <w:rsid w:val="005D2418"/>
    <w:rsid w:val="005D3C1E"/>
    <w:rsid w:val="005D5243"/>
    <w:rsid w:val="005D7CAD"/>
    <w:rsid w:val="005E0EC4"/>
    <w:rsid w:val="005E304F"/>
    <w:rsid w:val="005E4202"/>
    <w:rsid w:val="005E5D5C"/>
    <w:rsid w:val="005F265C"/>
    <w:rsid w:val="005F40D8"/>
    <w:rsid w:val="005F47CF"/>
    <w:rsid w:val="005F68CF"/>
    <w:rsid w:val="005F7C64"/>
    <w:rsid w:val="00602501"/>
    <w:rsid w:val="00602E79"/>
    <w:rsid w:val="006047A5"/>
    <w:rsid w:val="00606514"/>
    <w:rsid w:val="00606598"/>
    <w:rsid w:val="00606934"/>
    <w:rsid w:val="006165FD"/>
    <w:rsid w:val="00616FBF"/>
    <w:rsid w:val="0062186B"/>
    <w:rsid w:val="0062259C"/>
    <w:rsid w:val="00624A8B"/>
    <w:rsid w:val="00624F0D"/>
    <w:rsid w:val="00625A95"/>
    <w:rsid w:val="00625C93"/>
    <w:rsid w:val="006260A4"/>
    <w:rsid w:val="00626515"/>
    <w:rsid w:val="006268D0"/>
    <w:rsid w:val="0063059C"/>
    <w:rsid w:val="00635154"/>
    <w:rsid w:val="00637B17"/>
    <w:rsid w:val="006407A6"/>
    <w:rsid w:val="00640E74"/>
    <w:rsid w:val="00641B08"/>
    <w:rsid w:val="00643C09"/>
    <w:rsid w:val="006454C0"/>
    <w:rsid w:val="00651675"/>
    <w:rsid w:val="00655723"/>
    <w:rsid w:val="00655929"/>
    <w:rsid w:val="006560D6"/>
    <w:rsid w:val="00656D1A"/>
    <w:rsid w:val="00657E24"/>
    <w:rsid w:val="006604A0"/>
    <w:rsid w:val="00662ABD"/>
    <w:rsid w:val="006632AB"/>
    <w:rsid w:val="0066560E"/>
    <w:rsid w:val="00667F27"/>
    <w:rsid w:val="00673F44"/>
    <w:rsid w:val="0067451E"/>
    <w:rsid w:val="00675CB8"/>
    <w:rsid w:val="00676748"/>
    <w:rsid w:val="00676B97"/>
    <w:rsid w:val="00676D5D"/>
    <w:rsid w:val="006804F8"/>
    <w:rsid w:val="00681CB1"/>
    <w:rsid w:val="0068374C"/>
    <w:rsid w:val="00684100"/>
    <w:rsid w:val="00690598"/>
    <w:rsid w:val="00693256"/>
    <w:rsid w:val="0069529F"/>
    <w:rsid w:val="006971DF"/>
    <w:rsid w:val="006A0046"/>
    <w:rsid w:val="006A0FF7"/>
    <w:rsid w:val="006A3F87"/>
    <w:rsid w:val="006A5D5F"/>
    <w:rsid w:val="006A6DB1"/>
    <w:rsid w:val="006A7B4F"/>
    <w:rsid w:val="006B04CD"/>
    <w:rsid w:val="006B33CD"/>
    <w:rsid w:val="006B3B25"/>
    <w:rsid w:val="006B4028"/>
    <w:rsid w:val="006B480C"/>
    <w:rsid w:val="006B493D"/>
    <w:rsid w:val="006B5340"/>
    <w:rsid w:val="006B5948"/>
    <w:rsid w:val="006C0C3B"/>
    <w:rsid w:val="006C1346"/>
    <w:rsid w:val="006C4501"/>
    <w:rsid w:val="006C47B1"/>
    <w:rsid w:val="006D1E36"/>
    <w:rsid w:val="006D2E28"/>
    <w:rsid w:val="006D6D40"/>
    <w:rsid w:val="006E09F6"/>
    <w:rsid w:val="006E1EBC"/>
    <w:rsid w:val="006E3BEB"/>
    <w:rsid w:val="006E79A0"/>
    <w:rsid w:val="006F0E4E"/>
    <w:rsid w:val="006F1DD2"/>
    <w:rsid w:val="006F3E7B"/>
    <w:rsid w:val="006F3EEE"/>
    <w:rsid w:val="006F4102"/>
    <w:rsid w:val="006F55AF"/>
    <w:rsid w:val="006F678D"/>
    <w:rsid w:val="006F7E8A"/>
    <w:rsid w:val="00700862"/>
    <w:rsid w:val="00700FFE"/>
    <w:rsid w:val="0070152B"/>
    <w:rsid w:val="00701B41"/>
    <w:rsid w:val="00701CFB"/>
    <w:rsid w:val="0070389C"/>
    <w:rsid w:val="007039F2"/>
    <w:rsid w:val="00703E2D"/>
    <w:rsid w:val="00705798"/>
    <w:rsid w:val="00706202"/>
    <w:rsid w:val="00706E5A"/>
    <w:rsid w:val="00707B6E"/>
    <w:rsid w:val="00711F21"/>
    <w:rsid w:val="007143CA"/>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4085"/>
    <w:rsid w:val="007653AC"/>
    <w:rsid w:val="007712A3"/>
    <w:rsid w:val="007719DB"/>
    <w:rsid w:val="00773342"/>
    <w:rsid w:val="00775DAA"/>
    <w:rsid w:val="007775C2"/>
    <w:rsid w:val="0078400F"/>
    <w:rsid w:val="007870F3"/>
    <w:rsid w:val="007904E8"/>
    <w:rsid w:val="00794002"/>
    <w:rsid w:val="00794B8E"/>
    <w:rsid w:val="007A0631"/>
    <w:rsid w:val="007A2415"/>
    <w:rsid w:val="007A4ACF"/>
    <w:rsid w:val="007A5679"/>
    <w:rsid w:val="007A7985"/>
    <w:rsid w:val="007A7B79"/>
    <w:rsid w:val="007B10A1"/>
    <w:rsid w:val="007B23C0"/>
    <w:rsid w:val="007B477E"/>
    <w:rsid w:val="007B796A"/>
    <w:rsid w:val="007C2068"/>
    <w:rsid w:val="007C314E"/>
    <w:rsid w:val="007C336E"/>
    <w:rsid w:val="007C3B0B"/>
    <w:rsid w:val="007C5444"/>
    <w:rsid w:val="007D0D89"/>
    <w:rsid w:val="007D4742"/>
    <w:rsid w:val="007D5C84"/>
    <w:rsid w:val="007D612F"/>
    <w:rsid w:val="007D7250"/>
    <w:rsid w:val="007D7989"/>
    <w:rsid w:val="007E0541"/>
    <w:rsid w:val="007E283B"/>
    <w:rsid w:val="007E6506"/>
    <w:rsid w:val="007E6630"/>
    <w:rsid w:val="007E74CE"/>
    <w:rsid w:val="007F0DFF"/>
    <w:rsid w:val="007F21E1"/>
    <w:rsid w:val="007F249A"/>
    <w:rsid w:val="007F49B2"/>
    <w:rsid w:val="007F4BB5"/>
    <w:rsid w:val="007F4CD1"/>
    <w:rsid w:val="007F5F30"/>
    <w:rsid w:val="007F6563"/>
    <w:rsid w:val="008001A5"/>
    <w:rsid w:val="0080271A"/>
    <w:rsid w:val="00802DD7"/>
    <w:rsid w:val="00807728"/>
    <w:rsid w:val="00810C20"/>
    <w:rsid w:val="008161B8"/>
    <w:rsid w:val="0082299C"/>
    <w:rsid w:val="00822A85"/>
    <w:rsid w:val="00823721"/>
    <w:rsid w:val="00830009"/>
    <w:rsid w:val="00830C15"/>
    <w:rsid w:val="00832FAA"/>
    <w:rsid w:val="00833BC8"/>
    <w:rsid w:val="00834910"/>
    <w:rsid w:val="008355C2"/>
    <w:rsid w:val="008359C8"/>
    <w:rsid w:val="0084320C"/>
    <w:rsid w:val="00843501"/>
    <w:rsid w:val="00844E69"/>
    <w:rsid w:val="0085229E"/>
    <w:rsid w:val="00852784"/>
    <w:rsid w:val="0085449F"/>
    <w:rsid w:val="00855C78"/>
    <w:rsid w:val="00856CD1"/>
    <w:rsid w:val="0086371E"/>
    <w:rsid w:val="008640CC"/>
    <w:rsid w:val="008645E3"/>
    <w:rsid w:val="00864828"/>
    <w:rsid w:val="00870743"/>
    <w:rsid w:val="008709B8"/>
    <w:rsid w:val="00872919"/>
    <w:rsid w:val="00872FF1"/>
    <w:rsid w:val="0087502F"/>
    <w:rsid w:val="00877A34"/>
    <w:rsid w:val="00877A71"/>
    <w:rsid w:val="0088091F"/>
    <w:rsid w:val="008841B2"/>
    <w:rsid w:val="00884540"/>
    <w:rsid w:val="008873F6"/>
    <w:rsid w:val="008940F6"/>
    <w:rsid w:val="00895308"/>
    <w:rsid w:val="008A53DD"/>
    <w:rsid w:val="008A6A0D"/>
    <w:rsid w:val="008A7B08"/>
    <w:rsid w:val="008B1641"/>
    <w:rsid w:val="008B3602"/>
    <w:rsid w:val="008B3B1D"/>
    <w:rsid w:val="008B4601"/>
    <w:rsid w:val="008B6191"/>
    <w:rsid w:val="008B6AE7"/>
    <w:rsid w:val="008B6B17"/>
    <w:rsid w:val="008C140F"/>
    <w:rsid w:val="008C2FB2"/>
    <w:rsid w:val="008D12BF"/>
    <w:rsid w:val="008D367F"/>
    <w:rsid w:val="008D43FA"/>
    <w:rsid w:val="008D4793"/>
    <w:rsid w:val="008D4CBD"/>
    <w:rsid w:val="008D5C71"/>
    <w:rsid w:val="008E03EC"/>
    <w:rsid w:val="008E2FCC"/>
    <w:rsid w:val="008E3093"/>
    <w:rsid w:val="008E541D"/>
    <w:rsid w:val="008E6C1E"/>
    <w:rsid w:val="008E7B78"/>
    <w:rsid w:val="008F019D"/>
    <w:rsid w:val="008F2FB1"/>
    <w:rsid w:val="008F49CF"/>
    <w:rsid w:val="008F757B"/>
    <w:rsid w:val="009001A0"/>
    <w:rsid w:val="00900828"/>
    <w:rsid w:val="00900D31"/>
    <w:rsid w:val="00903812"/>
    <w:rsid w:val="00904A57"/>
    <w:rsid w:val="00906663"/>
    <w:rsid w:val="00912DB1"/>
    <w:rsid w:val="0091352A"/>
    <w:rsid w:val="00914AA2"/>
    <w:rsid w:val="00915392"/>
    <w:rsid w:val="00916AE4"/>
    <w:rsid w:val="00917E2A"/>
    <w:rsid w:val="0092238E"/>
    <w:rsid w:val="00925E78"/>
    <w:rsid w:val="00930217"/>
    <w:rsid w:val="00931A41"/>
    <w:rsid w:val="009320E3"/>
    <w:rsid w:val="00933915"/>
    <w:rsid w:val="00944CB0"/>
    <w:rsid w:val="0094542E"/>
    <w:rsid w:val="0094585F"/>
    <w:rsid w:val="0095060E"/>
    <w:rsid w:val="00950DD2"/>
    <w:rsid w:val="009518D2"/>
    <w:rsid w:val="00953E8A"/>
    <w:rsid w:val="009674B8"/>
    <w:rsid w:val="00970410"/>
    <w:rsid w:val="00970D43"/>
    <w:rsid w:val="00971CE0"/>
    <w:rsid w:val="00976430"/>
    <w:rsid w:val="00977D11"/>
    <w:rsid w:val="009805BD"/>
    <w:rsid w:val="0098118D"/>
    <w:rsid w:val="00981E50"/>
    <w:rsid w:val="009827BA"/>
    <w:rsid w:val="0098461E"/>
    <w:rsid w:val="00984B52"/>
    <w:rsid w:val="00985076"/>
    <w:rsid w:val="0098586D"/>
    <w:rsid w:val="00987C51"/>
    <w:rsid w:val="0099178F"/>
    <w:rsid w:val="00993332"/>
    <w:rsid w:val="0099637D"/>
    <w:rsid w:val="00997723"/>
    <w:rsid w:val="009A3228"/>
    <w:rsid w:val="009A452F"/>
    <w:rsid w:val="009A577D"/>
    <w:rsid w:val="009A6CF1"/>
    <w:rsid w:val="009A7C06"/>
    <w:rsid w:val="009B03A5"/>
    <w:rsid w:val="009B275D"/>
    <w:rsid w:val="009B3925"/>
    <w:rsid w:val="009B6768"/>
    <w:rsid w:val="009B799E"/>
    <w:rsid w:val="009C09F9"/>
    <w:rsid w:val="009C39F9"/>
    <w:rsid w:val="009C4138"/>
    <w:rsid w:val="009D0DE8"/>
    <w:rsid w:val="009D1EF2"/>
    <w:rsid w:val="009D2867"/>
    <w:rsid w:val="009D2F67"/>
    <w:rsid w:val="009D3B98"/>
    <w:rsid w:val="009D4F3C"/>
    <w:rsid w:val="009D4F40"/>
    <w:rsid w:val="009E3C72"/>
    <w:rsid w:val="009E3C87"/>
    <w:rsid w:val="009E46E2"/>
    <w:rsid w:val="009E4B0D"/>
    <w:rsid w:val="009E4DB0"/>
    <w:rsid w:val="009E6ADC"/>
    <w:rsid w:val="009E7D17"/>
    <w:rsid w:val="009F05C3"/>
    <w:rsid w:val="009F0CFA"/>
    <w:rsid w:val="009F3242"/>
    <w:rsid w:val="009F3EA5"/>
    <w:rsid w:val="009F4F73"/>
    <w:rsid w:val="009F5A7B"/>
    <w:rsid w:val="00A03B45"/>
    <w:rsid w:val="00A06BDF"/>
    <w:rsid w:val="00A06DC4"/>
    <w:rsid w:val="00A06F4C"/>
    <w:rsid w:val="00A12F22"/>
    <w:rsid w:val="00A136B7"/>
    <w:rsid w:val="00A140C4"/>
    <w:rsid w:val="00A160B4"/>
    <w:rsid w:val="00A160EE"/>
    <w:rsid w:val="00A21DD3"/>
    <w:rsid w:val="00A241FD"/>
    <w:rsid w:val="00A25CE3"/>
    <w:rsid w:val="00A3196A"/>
    <w:rsid w:val="00A33B90"/>
    <w:rsid w:val="00A33EF5"/>
    <w:rsid w:val="00A3617B"/>
    <w:rsid w:val="00A369BD"/>
    <w:rsid w:val="00A36BE4"/>
    <w:rsid w:val="00A40FFB"/>
    <w:rsid w:val="00A413C4"/>
    <w:rsid w:val="00A4153B"/>
    <w:rsid w:val="00A428D7"/>
    <w:rsid w:val="00A440B8"/>
    <w:rsid w:val="00A44CF3"/>
    <w:rsid w:val="00A46D24"/>
    <w:rsid w:val="00A47932"/>
    <w:rsid w:val="00A50459"/>
    <w:rsid w:val="00A50876"/>
    <w:rsid w:val="00A54292"/>
    <w:rsid w:val="00A5443E"/>
    <w:rsid w:val="00A54816"/>
    <w:rsid w:val="00A54F47"/>
    <w:rsid w:val="00A554CE"/>
    <w:rsid w:val="00A5593B"/>
    <w:rsid w:val="00A60F03"/>
    <w:rsid w:val="00A628C2"/>
    <w:rsid w:val="00A701DD"/>
    <w:rsid w:val="00A72113"/>
    <w:rsid w:val="00A73754"/>
    <w:rsid w:val="00A73802"/>
    <w:rsid w:val="00A807C9"/>
    <w:rsid w:val="00A80F69"/>
    <w:rsid w:val="00A819EB"/>
    <w:rsid w:val="00A81B62"/>
    <w:rsid w:val="00A8318D"/>
    <w:rsid w:val="00A8375D"/>
    <w:rsid w:val="00A8445B"/>
    <w:rsid w:val="00A8484E"/>
    <w:rsid w:val="00A84EC8"/>
    <w:rsid w:val="00A8639D"/>
    <w:rsid w:val="00A86628"/>
    <w:rsid w:val="00A87502"/>
    <w:rsid w:val="00A87AF4"/>
    <w:rsid w:val="00A91C45"/>
    <w:rsid w:val="00A9434D"/>
    <w:rsid w:val="00A9447F"/>
    <w:rsid w:val="00A96FAD"/>
    <w:rsid w:val="00A972A4"/>
    <w:rsid w:val="00A97E8E"/>
    <w:rsid w:val="00AA0677"/>
    <w:rsid w:val="00AA1F7F"/>
    <w:rsid w:val="00AA3945"/>
    <w:rsid w:val="00AB1F69"/>
    <w:rsid w:val="00AB25AB"/>
    <w:rsid w:val="00AB2F33"/>
    <w:rsid w:val="00AB4BED"/>
    <w:rsid w:val="00AB6AC5"/>
    <w:rsid w:val="00AC0157"/>
    <w:rsid w:val="00AC2363"/>
    <w:rsid w:val="00AC3F2A"/>
    <w:rsid w:val="00AC61EC"/>
    <w:rsid w:val="00AC72F0"/>
    <w:rsid w:val="00AC7892"/>
    <w:rsid w:val="00AC791A"/>
    <w:rsid w:val="00AD198A"/>
    <w:rsid w:val="00AD392C"/>
    <w:rsid w:val="00AD7126"/>
    <w:rsid w:val="00AE05C4"/>
    <w:rsid w:val="00AE31A1"/>
    <w:rsid w:val="00AE59F0"/>
    <w:rsid w:val="00AE6C6D"/>
    <w:rsid w:val="00AF0285"/>
    <w:rsid w:val="00B000DB"/>
    <w:rsid w:val="00B06988"/>
    <w:rsid w:val="00B1087F"/>
    <w:rsid w:val="00B11633"/>
    <w:rsid w:val="00B136C8"/>
    <w:rsid w:val="00B20EB9"/>
    <w:rsid w:val="00B21A38"/>
    <w:rsid w:val="00B2208A"/>
    <w:rsid w:val="00B258C9"/>
    <w:rsid w:val="00B25D04"/>
    <w:rsid w:val="00B3428E"/>
    <w:rsid w:val="00B359F1"/>
    <w:rsid w:val="00B41260"/>
    <w:rsid w:val="00B41A1F"/>
    <w:rsid w:val="00B4316D"/>
    <w:rsid w:val="00B436F2"/>
    <w:rsid w:val="00B442B4"/>
    <w:rsid w:val="00B51F85"/>
    <w:rsid w:val="00B5290C"/>
    <w:rsid w:val="00B530A0"/>
    <w:rsid w:val="00B579B2"/>
    <w:rsid w:val="00B65329"/>
    <w:rsid w:val="00B65904"/>
    <w:rsid w:val="00B66307"/>
    <w:rsid w:val="00B6725F"/>
    <w:rsid w:val="00B70335"/>
    <w:rsid w:val="00B72875"/>
    <w:rsid w:val="00B745E9"/>
    <w:rsid w:val="00B77ED0"/>
    <w:rsid w:val="00B810A6"/>
    <w:rsid w:val="00B81F48"/>
    <w:rsid w:val="00B830DD"/>
    <w:rsid w:val="00B8325F"/>
    <w:rsid w:val="00B83551"/>
    <w:rsid w:val="00B87826"/>
    <w:rsid w:val="00B9065D"/>
    <w:rsid w:val="00B9232D"/>
    <w:rsid w:val="00B923F1"/>
    <w:rsid w:val="00B93AD1"/>
    <w:rsid w:val="00B93FBE"/>
    <w:rsid w:val="00B94763"/>
    <w:rsid w:val="00B9553C"/>
    <w:rsid w:val="00BA31AA"/>
    <w:rsid w:val="00BA4230"/>
    <w:rsid w:val="00BA4468"/>
    <w:rsid w:val="00BA5201"/>
    <w:rsid w:val="00BA5E26"/>
    <w:rsid w:val="00BB0F1F"/>
    <w:rsid w:val="00BB11ED"/>
    <w:rsid w:val="00BB1545"/>
    <w:rsid w:val="00BB1802"/>
    <w:rsid w:val="00BB304A"/>
    <w:rsid w:val="00BB31EB"/>
    <w:rsid w:val="00BB3FC9"/>
    <w:rsid w:val="00BB657B"/>
    <w:rsid w:val="00BB7E7F"/>
    <w:rsid w:val="00BC12FE"/>
    <w:rsid w:val="00BC1827"/>
    <w:rsid w:val="00BC2124"/>
    <w:rsid w:val="00BC237F"/>
    <w:rsid w:val="00BC2DA6"/>
    <w:rsid w:val="00BC3BEC"/>
    <w:rsid w:val="00BC589A"/>
    <w:rsid w:val="00BC7CFD"/>
    <w:rsid w:val="00BD0868"/>
    <w:rsid w:val="00BD0D25"/>
    <w:rsid w:val="00BD103B"/>
    <w:rsid w:val="00BD710E"/>
    <w:rsid w:val="00BD75AF"/>
    <w:rsid w:val="00BE3E96"/>
    <w:rsid w:val="00BE6932"/>
    <w:rsid w:val="00BF4CE2"/>
    <w:rsid w:val="00BF73F0"/>
    <w:rsid w:val="00BF7961"/>
    <w:rsid w:val="00C01858"/>
    <w:rsid w:val="00C01EB2"/>
    <w:rsid w:val="00C03748"/>
    <w:rsid w:val="00C04104"/>
    <w:rsid w:val="00C04D35"/>
    <w:rsid w:val="00C10460"/>
    <w:rsid w:val="00C10AAB"/>
    <w:rsid w:val="00C10F89"/>
    <w:rsid w:val="00C11A9A"/>
    <w:rsid w:val="00C11D3B"/>
    <w:rsid w:val="00C1543B"/>
    <w:rsid w:val="00C20CC5"/>
    <w:rsid w:val="00C212C5"/>
    <w:rsid w:val="00C2134C"/>
    <w:rsid w:val="00C23778"/>
    <w:rsid w:val="00C23E09"/>
    <w:rsid w:val="00C33295"/>
    <w:rsid w:val="00C33DD7"/>
    <w:rsid w:val="00C36D69"/>
    <w:rsid w:val="00C406FB"/>
    <w:rsid w:val="00C4100B"/>
    <w:rsid w:val="00C410A5"/>
    <w:rsid w:val="00C431A4"/>
    <w:rsid w:val="00C45EA3"/>
    <w:rsid w:val="00C47307"/>
    <w:rsid w:val="00C5036A"/>
    <w:rsid w:val="00C5065A"/>
    <w:rsid w:val="00C509C4"/>
    <w:rsid w:val="00C548D1"/>
    <w:rsid w:val="00C56180"/>
    <w:rsid w:val="00C61DAC"/>
    <w:rsid w:val="00C628C9"/>
    <w:rsid w:val="00C6472A"/>
    <w:rsid w:val="00C64EEA"/>
    <w:rsid w:val="00C73AAF"/>
    <w:rsid w:val="00C76E7C"/>
    <w:rsid w:val="00C81613"/>
    <w:rsid w:val="00C83EA4"/>
    <w:rsid w:val="00C84B7F"/>
    <w:rsid w:val="00C8520A"/>
    <w:rsid w:val="00C9098F"/>
    <w:rsid w:val="00C92DB0"/>
    <w:rsid w:val="00C93EAA"/>
    <w:rsid w:val="00C943C1"/>
    <w:rsid w:val="00C94DCD"/>
    <w:rsid w:val="00C95BD4"/>
    <w:rsid w:val="00C9763D"/>
    <w:rsid w:val="00CA147F"/>
    <w:rsid w:val="00CA4627"/>
    <w:rsid w:val="00CA4B81"/>
    <w:rsid w:val="00CB1303"/>
    <w:rsid w:val="00CB31EC"/>
    <w:rsid w:val="00CB3F1D"/>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0A7A"/>
    <w:rsid w:val="00CE1400"/>
    <w:rsid w:val="00CE1AAF"/>
    <w:rsid w:val="00CE2BFA"/>
    <w:rsid w:val="00CF60B5"/>
    <w:rsid w:val="00CF72F4"/>
    <w:rsid w:val="00D02A8C"/>
    <w:rsid w:val="00D02F38"/>
    <w:rsid w:val="00D03827"/>
    <w:rsid w:val="00D05DE8"/>
    <w:rsid w:val="00D12B43"/>
    <w:rsid w:val="00D15F46"/>
    <w:rsid w:val="00D16824"/>
    <w:rsid w:val="00D252CB"/>
    <w:rsid w:val="00D31827"/>
    <w:rsid w:val="00D33FB6"/>
    <w:rsid w:val="00D3500F"/>
    <w:rsid w:val="00D35BD2"/>
    <w:rsid w:val="00D371B3"/>
    <w:rsid w:val="00D37BCB"/>
    <w:rsid w:val="00D4021B"/>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7D17"/>
    <w:rsid w:val="00D80D3B"/>
    <w:rsid w:val="00D827F7"/>
    <w:rsid w:val="00D82BCB"/>
    <w:rsid w:val="00D82D97"/>
    <w:rsid w:val="00D8339E"/>
    <w:rsid w:val="00D83545"/>
    <w:rsid w:val="00D837C9"/>
    <w:rsid w:val="00D855DF"/>
    <w:rsid w:val="00D87161"/>
    <w:rsid w:val="00D927BD"/>
    <w:rsid w:val="00D956E1"/>
    <w:rsid w:val="00D9625C"/>
    <w:rsid w:val="00D965B2"/>
    <w:rsid w:val="00D96CEC"/>
    <w:rsid w:val="00DA151F"/>
    <w:rsid w:val="00DA168E"/>
    <w:rsid w:val="00DA1AF1"/>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561F"/>
    <w:rsid w:val="00DD6505"/>
    <w:rsid w:val="00DD6ED6"/>
    <w:rsid w:val="00DE26C6"/>
    <w:rsid w:val="00DE341F"/>
    <w:rsid w:val="00DE4B44"/>
    <w:rsid w:val="00DE6323"/>
    <w:rsid w:val="00DE69EF"/>
    <w:rsid w:val="00DF01A2"/>
    <w:rsid w:val="00DF248C"/>
    <w:rsid w:val="00DF2CCC"/>
    <w:rsid w:val="00DF3FD7"/>
    <w:rsid w:val="00E01B02"/>
    <w:rsid w:val="00E01B9A"/>
    <w:rsid w:val="00E03633"/>
    <w:rsid w:val="00E03C71"/>
    <w:rsid w:val="00E104B7"/>
    <w:rsid w:val="00E10FFC"/>
    <w:rsid w:val="00E1127A"/>
    <w:rsid w:val="00E1287E"/>
    <w:rsid w:val="00E12D9B"/>
    <w:rsid w:val="00E1656E"/>
    <w:rsid w:val="00E229C3"/>
    <w:rsid w:val="00E242D4"/>
    <w:rsid w:val="00E261A3"/>
    <w:rsid w:val="00E27E25"/>
    <w:rsid w:val="00E304DD"/>
    <w:rsid w:val="00E31F06"/>
    <w:rsid w:val="00E363DC"/>
    <w:rsid w:val="00E37BA9"/>
    <w:rsid w:val="00E37EF1"/>
    <w:rsid w:val="00E401FF"/>
    <w:rsid w:val="00E4156C"/>
    <w:rsid w:val="00E4193C"/>
    <w:rsid w:val="00E42CFC"/>
    <w:rsid w:val="00E432F0"/>
    <w:rsid w:val="00E43545"/>
    <w:rsid w:val="00E43BA3"/>
    <w:rsid w:val="00E43EF7"/>
    <w:rsid w:val="00E448E2"/>
    <w:rsid w:val="00E474E8"/>
    <w:rsid w:val="00E521F7"/>
    <w:rsid w:val="00E536CE"/>
    <w:rsid w:val="00E54E09"/>
    <w:rsid w:val="00E55FC6"/>
    <w:rsid w:val="00E56A64"/>
    <w:rsid w:val="00E61144"/>
    <w:rsid w:val="00E6151E"/>
    <w:rsid w:val="00E62860"/>
    <w:rsid w:val="00E63ECB"/>
    <w:rsid w:val="00E70D5B"/>
    <w:rsid w:val="00E712F4"/>
    <w:rsid w:val="00E71BA6"/>
    <w:rsid w:val="00E7275C"/>
    <w:rsid w:val="00E7327D"/>
    <w:rsid w:val="00E762FE"/>
    <w:rsid w:val="00E77E73"/>
    <w:rsid w:val="00E827C3"/>
    <w:rsid w:val="00E83171"/>
    <w:rsid w:val="00E83B4B"/>
    <w:rsid w:val="00E83E02"/>
    <w:rsid w:val="00E8442D"/>
    <w:rsid w:val="00E86983"/>
    <w:rsid w:val="00E87E5C"/>
    <w:rsid w:val="00E9012F"/>
    <w:rsid w:val="00E91EF3"/>
    <w:rsid w:val="00E92A30"/>
    <w:rsid w:val="00E93901"/>
    <w:rsid w:val="00E9507D"/>
    <w:rsid w:val="00E95B57"/>
    <w:rsid w:val="00E9684F"/>
    <w:rsid w:val="00E972E7"/>
    <w:rsid w:val="00E9750D"/>
    <w:rsid w:val="00E97541"/>
    <w:rsid w:val="00EA0959"/>
    <w:rsid w:val="00EA0B6A"/>
    <w:rsid w:val="00EA145B"/>
    <w:rsid w:val="00EA4599"/>
    <w:rsid w:val="00EA567C"/>
    <w:rsid w:val="00EA64A1"/>
    <w:rsid w:val="00EA7C2A"/>
    <w:rsid w:val="00EB18D9"/>
    <w:rsid w:val="00EB2758"/>
    <w:rsid w:val="00EB66A6"/>
    <w:rsid w:val="00EC070F"/>
    <w:rsid w:val="00EC227A"/>
    <w:rsid w:val="00EC2C66"/>
    <w:rsid w:val="00EC3534"/>
    <w:rsid w:val="00EC3933"/>
    <w:rsid w:val="00EC4AD2"/>
    <w:rsid w:val="00EC65A3"/>
    <w:rsid w:val="00ED01AE"/>
    <w:rsid w:val="00ED2C5C"/>
    <w:rsid w:val="00ED2DE6"/>
    <w:rsid w:val="00ED34A3"/>
    <w:rsid w:val="00ED5A96"/>
    <w:rsid w:val="00ED7C80"/>
    <w:rsid w:val="00EE1193"/>
    <w:rsid w:val="00EE1C34"/>
    <w:rsid w:val="00EE1D22"/>
    <w:rsid w:val="00EF08C5"/>
    <w:rsid w:val="00EF0906"/>
    <w:rsid w:val="00EF2925"/>
    <w:rsid w:val="00EF5176"/>
    <w:rsid w:val="00EF76C7"/>
    <w:rsid w:val="00F006D1"/>
    <w:rsid w:val="00F019C8"/>
    <w:rsid w:val="00F02A74"/>
    <w:rsid w:val="00F02E93"/>
    <w:rsid w:val="00F0515B"/>
    <w:rsid w:val="00F06641"/>
    <w:rsid w:val="00F06667"/>
    <w:rsid w:val="00F076E0"/>
    <w:rsid w:val="00F07C98"/>
    <w:rsid w:val="00F07CF8"/>
    <w:rsid w:val="00F109FC"/>
    <w:rsid w:val="00F10C91"/>
    <w:rsid w:val="00F1448F"/>
    <w:rsid w:val="00F1734C"/>
    <w:rsid w:val="00F17569"/>
    <w:rsid w:val="00F21282"/>
    <w:rsid w:val="00F213E9"/>
    <w:rsid w:val="00F22079"/>
    <w:rsid w:val="00F23924"/>
    <w:rsid w:val="00F23B64"/>
    <w:rsid w:val="00F27A46"/>
    <w:rsid w:val="00F310F7"/>
    <w:rsid w:val="00F330B0"/>
    <w:rsid w:val="00F3344A"/>
    <w:rsid w:val="00F33775"/>
    <w:rsid w:val="00F337A5"/>
    <w:rsid w:val="00F338B6"/>
    <w:rsid w:val="00F346D4"/>
    <w:rsid w:val="00F34B84"/>
    <w:rsid w:val="00F36AE4"/>
    <w:rsid w:val="00F40BC4"/>
    <w:rsid w:val="00F40E01"/>
    <w:rsid w:val="00F434C5"/>
    <w:rsid w:val="00F474EC"/>
    <w:rsid w:val="00F51E2F"/>
    <w:rsid w:val="00F5392C"/>
    <w:rsid w:val="00F53C3C"/>
    <w:rsid w:val="00F62FF1"/>
    <w:rsid w:val="00F631D8"/>
    <w:rsid w:val="00F64CE9"/>
    <w:rsid w:val="00F65A51"/>
    <w:rsid w:val="00F70FBD"/>
    <w:rsid w:val="00F74091"/>
    <w:rsid w:val="00F76CBF"/>
    <w:rsid w:val="00F8108F"/>
    <w:rsid w:val="00F81B18"/>
    <w:rsid w:val="00F84569"/>
    <w:rsid w:val="00F84A7C"/>
    <w:rsid w:val="00F864D5"/>
    <w:rsid w:val="00F932DA"/>
    <w:rsid w:val="00F977F5"/>
    <w:rsid w:val="00FA0B9D"/>
    <w:rsid w:val="00FA1C5D"/>
    <w:rsid w:val="00FA32B8"/>
    <w:rsid w:val="00FA56D9"/>
    <w:rsid w:val="00FB6E8F"/>
    <w:rsid w:val="00FB7D4A"/>
    <w:rsid w:val="00FC0C2A"/>
    <w:rsid w:val="00FC298D"/>
    <w:rsid w:val="00FC4560"/>
    <w:rsid w:val="00FC609F"/>
    <w:rsid w:val="00FC7800"/>
    <w:rsid w:val="00FC79B0"/>
    <w:rsid w:val="00FD1CDF"/>
    <w:rsid w:val="00FD26DB"/>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5DC082A"/>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7288">
      <w:bodyDiv w:val="1"/>
      <w:marLeft w:val="0"/>
      <w:marRight w:val="0"/>
      <w:marTop w:val="0"/>
      <w:marBottom w:val="0"/>
      <w:divBdr>
        <w:top w:val="none" w:sz="0" w:space="0" w:color="auto"/>
        <w:left w:val="none" w:sz="0" w:space="0" w:color="auto"/>
        <w:bottom w:val="none" w:sz="0" w:space="0" w:color="auto"/>
        <w:right w:val="none" w:sz="0" w:space="0" w:color="auto"/>
      </w:divBdr>
    </w:div>
    <w:div w:id="1528368188">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6.png"/><Relationship Id="rId39" Type="http://schemas.openxmlformats.org/officeDocument/2006/relationships/footer" Target="footer1.xml"/><Relationship Id="rId21" Type="http://schemas.openxmlformats.org/officeDocument/2006/relationships/chart" Target="charts/chart3.xml"/><Relationship Id="rId34" Type="http://schemas.openxmlformats.org/officeDocument/2006/relationships/image" Target="media/image2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yperlink" Target="https://www.reinsw.com.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yperlink" Target="http://www.housing.nsw.gov.au/Centre+For+Affordable+Housing/NSW+Local+Government+Housing+Kit/Local+Government+Housing+Kit+Database/" TargetMode="Externa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yperlink" Target="http://www.housing.nsw.gov.au/About+Us/Reports+Plans+and+Papers/Rent+and+Sales+Report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5.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Vacancy%20Rates\REI%20Vacancy%20Rates\Graph%20Sydney%20&amp;%20regional%20vacancy%20rates%202006-202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Vacancy%20Rates\REI%20Vacancy%20Rates\Graph%20Sydney%20&amp;%20regional%20vacancy%20rates%202006-202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Regional%20NSW%20data\Illawarra%20Shoalhaven\2021%20Illawarra%20Shoalhaven%20tabl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Vacancy rate - Wollongong and Illawarra - 2006 to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Wollongong!$A$8</c:f>
              <c:strCache>
                <c:ptCount val="1"/>
                <c:pt idx="0">
                  <c:v>Wollongong</c:v>
                </c:pt>
              </c:strCache>
            </c:strRef>
          </c:tx>
          <c:spPr>
            <a:ln w="28575" cap="rnd">
              <a:solidFill>
                <a:srgbClr val="0000CC"/>
              </a:solidFill>
              <a:round/>
            </a:ln>
            <a:effectLst/>
          </c:spPr>
          <c:marker>
            <c:symbol val="none"/>
          </c:marker>
          <c:cat>
            <c:numRef>
              <c:f>Wollongong!$B$7:$GP$7</c:f>
              <c:numCache>
                <c:formatCode>mmm\-yy</c:formatCode>
                <c:ptCount val="197"/>
                <c:pt idx="0">
                  <c:v>38991</c:v>
                </c:pt>
                <c:pt idx="1">
                  <c:v>39022</c:v>
                </c:pt>
                <c:pt idx="2">
                  <c:v>39052</c:v>
                </c:pt>
                <c:pt idx="3">
                  <c:v>39083</c:v>
                </c:pt>
                <c:pt idx="4">
                  <c:v>39114</c:v>
                </c:pt>
                <c:pt idx="5">
                  <c:v>39142</c:v>
                </c:pt>
                <c:pt idx="6">
                  <c:v>39173</c:v>
                </c:pt>
                <c:pt idx="7">
                  <c:v>39203</c:v>
                </c:pt>
                <c:pt idx="8">
                  <c:v>39234</c:v>
                </c:pt>
                <c:pt idx="9">
                  <c:v>39264</c:v>
                </c:pt>
                <c:pt idx="10">
                  <c:v>39295</c:v>
                </c:pt>
                <c:pt idx="11">
                  <c:v>39326</c:v>
                </c:pt>
                <c:pt idx="12">
                  <c:v>39356</c:v>
                </c:pt>
                <c:pt idx="13">
                  <c:v>39387</c:v>
                </c:pt>
                <c:pt idx="14">
                  <c:v>39448</c:v>
                </c:pt>
                <c:pt idx="15">
                  <c:v>39479</c:v>
                </c:pt>
                <c:pt idx="16">
                  <c:v>39508</c:v>
                </c:pt>
                <c:pt idx="17">
                  <c:v>39539</c:v>
                </c:pt>
                <c:pt idx="18">
                  <c:v>39569</c:v>
                </c:pt>
                <c:pt idx="19">
                  <c:v>39600</c:v>
                </c:pt>
                <c:pt idx="20">
                  <c:v>39630</c:v>
                </c:pt>
                <c:pt idx="21">
                  <c:v>39661</c:v>
                </c:pt>
                <c:pt idx="22">
                  <c:v>39692</c:v>
                </c:pt>
                <c:pt idx="23">
                  <c:v>39722</c:v>
                </c:pt>
                <c:pt idx="24">
                  <c:v>39753</c:v>
                </c:pt>
                <c:pt idx="25">
                  <c:v>39783</c:v>
                </c:pt>
                <c:pt idx="26">
                  <c:v>39814</c:v>
                </c:pt>
                <c:pt idx="27">
                  <c:v>39845</c:v>
                </c:pt>
                <c:pt idx="28">
                  <c:v>39873</c:v>
                </c:pt>
                <c:pt idx="29">
                  <c:v>39904</c:v>
                </c:pt>
                <c:pt idx="30">
                  <c:v>39934</c:v>
                </c:pt>
                <c:pt idx="31">
                  <c:v>39965</c:v>
                </c:pt>
                <c:pt idx="32">
                  <c:v>39995</c:v>
                </c:pt>
                <c:pt idx="33">
                  <c:v>40026</c:v>
                </c:pt>
                <c:pt idx="34">
                  <c:v>40057</c:v>
                </c:pt>
                <c:pt idx="35">
                  <c:v>40087</c:v>
                </c:pt>
                <c:pt idx="36">
                  <c:v>40118</c:v>
                </c:pt>
                <c:pt idx="37">
                  <c:v>40148</c:v>
                </c:pt>
                <c:pt idx="38">
                  <c:v>40179</c:v>
                </c:pt>
                <c:pt idx="39">
                  <c:v>40210</c:v>
                </c:pt>
                <c:pt idx="40">
                  <c:v>40238</c:v>
                </c:pt>
                <c:pt idx="41">
                  <c:v>40269</c:v>
                </c:pt>
                <c:pt idx="42">
                  <c:v>40299</c:v>
                </c:pt>
                <c:pt idx="43">
                  <c:v>40330</c:v>
                </c:pt>
                <c:pt idx="44">
                  <c:v>40360</c:v>
                </c:pt>
                <c:pt idx="45">
                  <c:v>40391</c:v>
                </c:pt>
                <c:pt idx="46">
                  <c:v>40422</c:v>
                </c:pt>
                <c:pt idx="47">
                  <c:v>40452</c:v>
                </c:pt>
                <c:pt idx="48">
                  <c:v>40483</c:v>
                </c:pt>
                <c:pt idx="49">
                  <c:v>40513</c:v>
                </c:pt>
                <c:pt idx="50">
                  <c:v>40544</c:v>
                </c:pt>
                <c:pt idx="51">
                  <c:v>40575</c:v>
                </c:pt>
                <c:pt idx="52">
                  <c:v>40603</c:v>
                </c:pt>
                <c:pt idx="53">
                  <c:v>40634</c:v>
                </c:pt>
                <c:pt idx="54">
                  <c:v>40664</c:v>
                </c:pt>
                <c:pt idx="55">
                  <c:v>40695</c:v>
                </c:pt>
                <c:pt idx="56">
                  <c:v>40725</c:v>
                </c:pt>
                <c:pt idx="57">
                  <c:v>40756</c:v>
                </c:pt>
                <c:pt idx="58">
                  <c:v>40787</c:v>
                </c:pt>
                <c:pt idx="59">
                  <c:v>40817</c:v>
                </c:pt>
                <c:pt idx="60">
                  <c:v>40848</c:v>
                </c:pt>
                <c:pt idx="61">
                  <c:v>40878</c:v>
                </c:pt>
                <c:pt idx="62">
                  <c:v>40909</c:v>
                </c:pt>
                <c:pt idx="63">
                  <c:v>40940</c:v>
                </c:pt>
                <c:pt idx="64">
                  <c:v>40969</c:v>
                </c:pt>
                <c:pt idx="65">
                  <c:v>41000</c:v>
                </c:pt>
                <c:pt idx="66">
                  <c:v>41030</c:v>
                </c:pt>
                <c:pt idx="67">
                  <c:v>41061</c:v>
                </c:pt>
                <c:pt idx="68">
                  <c:v>41091</c:v>
                </c:pt>
                <c:pt idx="69">
                  <c:v>41122</c:v>
                </c:pt>
                <c:pt idx="70">
                  <c:v>41153</c:v>
                </c:pt>
                <c:pt idx="71">
                  <c:v>41183</c:v>
                </c:pt>
                <c:pt idx="72">
                  <c:v>41214</c:v>
                </c:pt>
                <c:pt idx="73">
                  <c:v>41244</c:v>
                </c:pt>
                <c:pt idx="74">
                  <c:v>41275</c:v>
                </c:pt>
                <c:pt idx="75">
                  <c:v>41306</c:v>
                </c:pt>
                <c:pt idx="76">
                  <c:v>41334</c:v>
                </c:pt>
                <c:pt idx="77">
                  <c:v>41365</c:v>
                </c:pt>
                <c:pt idx="78">
                  <c:v>41395</c:v>
                </c:pt>
                <c:pt idx="79">
                  <c:v>41426</c:v>
                </c:pt>
                <c:pt idx="80">
                  <c:v>41456</c:v>
                </c:pt>
                <c:pt idx="81">
                  <c:v>41487</c:v>
                </c:pt>
                <c:pt idx="82">
                  <c:v>41518</c:v>
                </c:pt>
                <c:pt idx="83">
                  <c:v>41548</c:v>
                </c:pt>
                <c:pt idx="84">
                  <c:v>41579</c:v>
                </c:pt>
                <c:pt idx="85">
                  <c:v>41609</c:v>
                </c:pt>
                <c:pt idx="86">
                  <c:v>41640</c:v>
                </c:pt>
                <c:pt idx="87">
                  <c:v>41671</c:v>
                </c:pt>
                <c:pt idx="88">
                  <c:v>41699</c:v>
                </c:pt>
                <c:pt idx="89">
                  <c:v>41730</c:v>
                </c:pt>
                <c:pt idx="90">
                  <c:v>41760</c:v>
                </c:pt>
                <c:pt idx="91">
                  <c:v>41791</c:v>
                </c:pt>
                <c:pt idx="92">
                  <c:v>41821</c:v>
                </c:pt>
                <c:pt idx="93">
                  <c:v>41852</c:v>
                </c:pt>
                <c:pt idx="94">
                  <c:v>41883</c:v>
                </c:pt>
                <c:pt idx="95">
                  <c:v>41944</c:v>
                </c:pt>
                <c:pt idx="96">
                  <c:v>41974</c:v>
                </c:pt>
                <c:pt idx="97">
                  <c:v>42005</c:v>
                </c:pt>
                <c:pt idx="98">
                  <c:v>42036</c:v>
                </c:pt>
                <c:pt idx="99">
                  <c:v>42064</c:v>
                </c:pt>
                <c:pt idx="100">
                  <c:v>42095</c:v>
                </c:pt>
                <c:pt idx="101">
                  <c:v>42125</c:v>
                </c:pt>
                <c:pt idx="102">
                  <c:v>42156</c:v>
                </c:pt>
                <c:pt idx="103">
                  <c:v>42186</c:v>
                </c:pt>
                <c:pt idx="104">
                  <c:v>42217</c:v>
                </c:pt>
                <c:pt idx="105">
                  <c:v>42248</c:v>
                </c:pt>
                <c:pt idx="106">
                  <c:v>42278</c:v>
                </c:pt>
                <c:pt idx="107">
                  <c:v>42309</c:v>
                </c:pt>
                <c:pt idx="108">
                  <c:v>42339</c:v>
                </c:pt>
                <c:pt idx="109">
                  <c:v>42370</c:v>
                </c:pt>
                <c:pt idx="110">
                  <c:v>42401</c:v>
                </c:pt>
                <c:pt idx="111">
                  <c:v>42430</c:v>
                </c:pt>
                <c:pt idx="112">
                  <c:v>42461</c:v>
                </c:pt>
                <c:pt idx="113">
                  <c:v>42491</c:v>
                </c:pt>
                <c:pt idx="114">
                  <c:v>42522</c:v>
                </c:pt>
                <c:pt idx="115">
                  <c:v>42552</c:v>
                </c:pt>
                <c:pt idx="116">
                  <c:v>42583</c:v>
                </c:pt>
                <c:pt idx="117">
                  <c:v>42614</c:v>
                </c:pt>
                <c:pt idx="118">
                  <c:v>42644</c:v>
                </c:pt>
                <c:pt idx="119">
                  <c:v>42675</c:v>
                </c:pt>
                <c:pt idx="120">
                  <c:v>42705</c:v>
                </c:pt>
                <c:pt idx="121">
                  <c:v>42736</c:v>
                </c:pt>
                <c:pt idx="122">
                  <c:v>42767</c:v>
                </c:pt>
                <c:pt idx="123">
                  <c:v>42795</c:v>
                </c:pt>
                <c:pt idx="124">
                  <c:v>42826</c:v>
                </c:pt>
                <c:pt idx="125">
                  <c:v>42856</c:v>
                </c:pt>
                <c:pt idx="126">
                  <c:v>42887</c:v>
                </c:pt>
                <c:pt idx="127">
                  <c:v>42917</c:v>
                </c:pt>
                <c:pt idx="128">
                  <c:v>42948</c:v>
                </c:pt>
                <c:pt idx="129">
                  <c:v>42979</c:v>
                </c:pt>
                <c:pt idx="130">
                  <c:v>43009</c:v>
                </c:pt>
                <c:pt idx="131">
                  <c:v>43040</c:v>
                </c:pt>
                <c:pt idx="132">
                  <c:v>43070</c:v>
                </c:pt>
                <c:pt idx="133">
                  <c:v>43101</c:v>
                </c:pt>
                <c:pt idx="134">
                  <c:v>43132</c:v>
                </c:pt>
                <c:pt idx="135">
                  <c:v>43160</c:v>
                </c:pt>
                <c:pt idx="136">
                  <c:v>43191</c:v>
                </c:pt>
                <c:pt idx="137">
                  <c:v>43221</c:v>
                </c:pt>
                <c:pt idx="138">
                  <c:v>43252</c:v>
                </c:pt>
                <c:pt idx="139">
                  <c:v>43282</c:v>
                </c:pt>
                <c:pt idx="140">
                  <c:v>43313</c:v>
                </c:pt>
                <c:pt idx="141">
                  <c:v>43344</c:v>
                </c:pt>
                <c:pt idx="142">
                  <c:v>43374</c:v>
                </c:pt>
                <c:pt idx="143">
                  <c:v>43405</c:v>
                </c:pt>
                <c:pt idx="144">
                  <c:v>43435</c:v>
                </c:pt>
                <c:pt idx="145">
                  <c:v>43466</c:v>
                </c:pt>
                <c:pt idx="146">
                  <c:v>43497</c:v>
                </c:pt>
                <c:pt idx="147">
                  <c:v>43525</c:v>
                </c:pt>
                <c:pt idx="148">
                  <c:v>43556</c:v>
                </c:pt>
                <c:pt idx="149">
                  <c:v>43586</c:v>
                </c:pt>
                <c:pt idx="150">
                  <c:v>43617</c:v>
                </c:pt>
                <c:pt idx="151">
                  <c:v>43647</c:v>
                </c:pt>
                <c:pt idx="152">
                  <c:v>43678</c:v>
                </c:pt>
                <c:pt idx="153">
                  <c:v>43709</c:v>
                </c:pt>
                <c:pt idx="154">
                  <c:v>43739</c:v>
                </c:pt>
                <c:pt idx="155">
                  <c:v>43770</c:v>
                </c:pt>
                <c:pt idx="156">
                  <c:v>43800</c:v>
                </c:pt>
                <c:pt idx="157">
                  <c:v>43831</c:v>
                </c:pt>
                <c:pt idx="158">
                  <c:v>43862</c:v>
                </c:pt>
                <c:pt idx="159">
                  <c:v>43891</c:v>
                </c:pt>
                <c:pt idx="160">
                  <c:v>43922</c:v>
                </c:pt>
                <c:pt idx="161">
                  <c:v>43952</c:v>
                </c:pt>
                <c:pt idx="162">
                  <c:v>43983</c:v>
                </c:pt>
                <c:pt idx="163">
                  <c:v>44013</c:v>
                </c:pt>
                <c:pt idx="164">
                  <c:v>44044</c:v>
                </c:pt>
                <c:pt idx="165">
                  <c:v>44075</c:v>
                </c:pt>
                <c:pt idx="166">
                  <c:v>44105</c:v>
                </c:pt>
                <c:pt idx="167">
                  <c:v>44136</c:v>
                </c:pt>
                <c:pt idx="168">
                  <c:v>44166</c:v>
                </c:pt>
                <c:pt idx="169">
                  <c:v>44197</c:v>
                </c:pt>
                <c:pt idx="170">
                  <c:v>44228</c:v>
                </c:pt>
                <c:pt idx="171">
                  <c:v>44256</c:v>
                </c:pt>
                <c:pt idx="172">
                  <c:v>44287</c:v>
                </c:pt>
                <c:pt idx="173">
                  <c:v>44317</c:v>
                </c:pt>
                <c:pt idx="174">
                  <c:v>44348</c:v>
                </c:pt>
                <c:pt idx="175">
                  <c:v>44378</c:v>
                </c:pt>
                <c:pt idx="176">
                  <c:v>44409</c:v>
                </c:pt>
                <c:pt idx="177">
                  <c:v>44440</c:v>
                </c:pt>
                <c:pt idx="178">
                  <c:v>44470</c:v>
                </c:pt>
                <c:pt idx="179">
                  <c:v>44501</c:v>
                </c:pt>
                <c:pt idx="180">
                  <c:v>44531</c:v>
                </c:pt>
                <c:pt idx="181">
                  <c:v>44562</c:v>
                </c:pt>
                <c:pt idx="182">
                  <c:v>44593</c:v>
                </c:pt>
                <c:pt idx="183">
                  <c:v>44621</c:v>
                </c:pt>
                <c:pt idx="184">
                  <c:v>44652</c:v>
                </c:pt>
                <c:pt idx="185">
                  <c:v>44682</c:v>
                </c:pt>
                <c:pt idx="186">
                  <c:v>44713</c:v>
                </c:pt>
                <c:pt idx="187">
                  <c:v>44743</c:v>
                </c:pt>
                <c:pt idx="188">
                  <c:v>44774</c:v>
                </c:pt>
                <c:pt idx="189">
                  <c:v>44805</c:v>
                </c:pt>
                <c:pt idx="190">
                  <c:v>44835</c:v>
                </c:pt>
                <c:pt idx="191">
                  <c:v>44866</c:v>
                </c:pt>
                <c:pt idx="192">
                  <c:v>44896</c:v>
                </c:pt>
                <c:pt idx="193">
                  <c:v>44927</c:v>
                </c:pt>
                <c:pt idx="194">
                  <c:v>44958</c:v>
                </c:pt>
                <c:pt idx="195">
                  <c:v>44986</c:v>
                </c:pt>
                <c:pt idx="196">
                  <c:v>45017</c:v>
                </c:pt>
              </c:numCache>
            </c:numRef>
          </c:cat>
          <c:val>
            <c:numRef>
              <c:f>Wollongong!$B$8:$GP$8</c:f>
              <c:numCache>
                <c:formatCode>General</c:formatCode>
                <c:ptCount val="197"/>
                <c:pt idx="0">
                  <c:v>3.8</c:v>
                </c:pt>
                <c:pt idx="1">
                  <c:v>3.6</c:v>
                </c:pt>
                <c:pt idx="2">
                  <c:v>3.7</c:v>
                </c:pt>
                <c:pt idx="3">
                  <c:v>2.9</c:v>
                </c:pt>
                <c:pt idx="4">
                  <c:v>2.6</c:v>
                </c:pt>
                <c:pt idx="5">
                  <c:v>2.1</c:v>
                </c:pt>
                <c:pt idx="6">
                  <c:v>2.9</c:v>
                </c:pt>
                <c:pt idx="7">
                  <c:v>2.5</c:v>
                </c:pt>
                <c:pt idx="8">
                  <c:v>2.7</c:v>
                </c:pt>
                <c:pt idx="9">
                  <c:v>3.2</c:v>
                </c:pt>
                <c:pt idx="10">
                  <c:v>3.6</c:v>
                </c:pt>
                <c:pt idx="11">
                  <c:v>2.1</c:v>
                </c:pt>
                <c:pt idx="12">
                  <c:v>2.1</c:v>
                </c:pt>
                <c:pt idx="13">
                  <c:v>2.6</c:v>
                </c:pt>
                <c:pt idx="14">
                  <c:v>2.2000000000000002</c:v>
                </c:pt>
                <c:pt idx="15">
                  <c:v>1.5</c:v>
                </c:pt>
                <c:pt idx="16">
                  <c:v>0.7</c:v>
                </c:pt>
                <c:pt idx="17">
                  <c:v>1.5</c:v>
                </c:pt>
                <c:pt idx="18" formatCode="0.0">
                  <c:v>2</c:v>
                </c:pt>
                <c:pt idx="19">
                  <c:v>1.3</c:v>
                </c:pt>
                <c:pt idx="20">
                  <c:v>2.2999999999999998</c:v>
                </c:pt>
                <c:pt idx="21">
                  <c:v>2.1</c:v>
                </c:pt>
                <c:pt idx="22">
                  <c:v>1.4</c:v>
                </c:pt>
                <c:pt idx="23">
                  <c:v>2.2000000000000002</c:v>
                </c:pt>
                <c:pt idx="24">
                  <c:v>1.9</c:v>
                </c:pt>
                <c:pt idx="25" formatCode="0.0">
                  <c:v>3</c:v>
                </c:pt>
                <c:pt idx="26">
                  <c:v>2.4</c:v>
                </c:pt>
                <c:pt idx="27">
                  <c:v>1.5</c:v>
                </c:pt>
                <c:pt idx="28">
                  <c:v>1.6</c:v>
                </c:pt>
                <c:pt idx="29">
                  <c:v>2.2000000000000002</c:v>
                </c:pt>
                <c:pt idx="30">
                  <c:v>1.2</c:v>
                </c:pt>
                <c:pt idx="31">
                  <c:v>1.6</c:v>
                </c:pt>
                <c:pt idx="32">
                  <c:v>1.9</c:v>
                </c:pt>
                <c:pt idx="33">
                  <c:v>1.3</c:v>
                </c:pt>
                <c:pt idx="34">
                  <c:v>1.6</c:v>
                </c:pt>
                <c:pt idx="35">
                  <c:v>1.8</c:v>
                </c:pt>
                <c:pt idx="36" formatCode="0.0">
                  <c:v>2</c:v>
                </c:pt>
                <c:pt idx="37">
                  <c:v>2.7</c:v>
                </c:pt>
                <c:pt idx="38" formatCode="0.0">
                  <c:v>2</c:v>
                </c:pt>
                <c:pt idx="39">
                  <c:v>1.7</c:v>
                </c:pt>
                <c:pt idx="40" formatCode="0.0">
                  <c:v>1.1000000000000001</c:v>
                </c:pt>
                <c:pt idx="41">
                  <c:v>0.9</c:v>
                </c:pt>
                <c:pt idx="42" formatCode="0.0">
                  <c:v>1.1000000000000001</c:v>
                </c:pt>
                <c:pt idx="43">
                  <c:v>1.7</c:v>
                </c:pt>
                <c:pt idx="44" formatCode="0.0">
                  <c:v>1.4</c:v>
                </c:pt>
                <c:pt idx="45" formatCode="0.0">
                  <c:v>2</c:v>
                </c:pt>
                <c:pt idx="46" formatCode="0.0">
                  <c:v>1.8</c:v>
                </c:pt>
                <c:pt idx="47" formatCode="0.0">
                  <c:v>1.7</c:v>
                </c:pt>
                <c:pt idx="48" formatCode="0.0">
                  <c:v>1.6</c:v>
                </c:pt>
                <c:pt idx="49" formatCode="0.0">
                  <c:v>1.3</c:v>
                </c:pt>
                <c:pt idx="50" formatCode="0.0">
                  <c:v>1.3</c:v>
                </c:pt>
                <c:pt idx="51" formatCode="0.0">
                  <c:v>1.3</c:v>
                </c:pt>
                <c:pt idx="52" formatCode="0.0">
                  <c:v>1</c:v>
                </c:pt>
                <c:pt idx="53" formatCode="0.0">
                  <c:v>1.3</c:v>
                </c:pt>
                <c:pt idx="54" formatCode="0.0">
                  <c:v>1.3</c:v>
                </c:pt>
                <c:pt idx="55" formatCode="0.0">
                  <c:v>0.9</c:v>
                </c:pt>
                <c:pt idx="56" formatCode="0.0">
                  <c:v>1.3</c:v>
                </c:pt>
                <c:pt idx="57" formatCode="0.0">
                  <c:v>1.6</c:v>
                </c:pt>
                <c:pt idx="58" formatCode="0.0">
                  <c:v>1.6</c:v>
                </c:pt>
                <c:pt idx="59" formatCode="0.0">
                  <c:v>1.8</c:v>
                </c:pt>
                <c:pt idx="60" formatCode="0.0">
                  <c:v>2.2000000000000002</c:v>
                </c:pt>
                <c:pt idx="61" formatCode="0.0">
                  <c:v>2.1</c:v>
                </c:pt>
                <c:pt idx="62" formatCode="0.0">
                  <c:v>2.2999999999999998</c:v>
                </c:pt>
                <c:pt idx="63" formatCode="0.0">
                  <c:v>2.4</c:v>
                </c:pt>
                <c:pt idx="64" formatCode="0.0">
                  <c:v>3</c:v>
                </c:pt>
                <c:pt idx="65" formatCode="0.0">
                  <c:v>2.9</c:v>
                </c:pt>
                <c:pt idx="66" formatCode="0.0">
                  <c:v>2.8</c:v>
                </c:pt>
                <c:pt idx="67" formatCode="0.0">
                  <c:v>3.2</c:v>
                </c:pt>
                <c:pt idx="68" formatCode="0.0">
                  <c:v>2.5</c:v>
                </c:pt>
                <c:pt idx="69" formatCode="0.0">
                  <c:v>3.4</c:v>
                </c:pt>
                <c:pt idx="70" formatCode="0.0">
                  <c:v>2.1</c:v>
                </c:pt>
                <c:pt idx="71" formatCode="0.0">
                  <c:v>2.6</c:v>
                </c:pt>
                <c:pt idx="72" formatCode="0.0">
                  <c:v>2.5</c:v>
                </c:pt>
                <c:pt idx="73" formatCode="0.0">
                  <c:v>2.5</c:v>
                </c:pt>
                <c:pt idx="74" formatCode="0.0">
                  <c:v>2.8</c:v>
                </c:pt>
                <c:pt idx="75" formatCode="0.0">
                  <c:v>2.7</c:v>
                </c:pt>
                <c:pt idx="76" formatCode="0.0">
                  <c:v>2.2999999999999998</c:v>
                </c:pt>
                <c:pt idx="77" formatCode="0.0">
                  <c:v>1.9</c:v>
                </c:pt>
                <c:pt idx="78" formatCode="0.0">
                  <c:v>2.2000000000000002</c:v>
                </c:pt>
                <c:pt idx="79" formatCode="0.0">
                  <c:v>2.5</c:v>
                </c:pt>
                <c:pt idx="80" formatCode="0.0">
                  <c:v>3.2</c:v>
                </c:pt>
                <c:pt idx="81" formatCode="0.0">
                  <c:v>2.5</c:v>
                </c:pt>
                <c:pt idx="82" formatCode="0.0">
                  <c:v>1.9</c:v>
                </c:pt>
                <c:pt idx="83" formatCode="0.0">
                  <c:v>2.2999999999999998</c:v>
                </c:pt>
                <c:pt idx="84" formatCode="0.0">
                  <c:v>2.2000000000000002</c:v>
                </c:pt>
                <c:pt idx="85" formatCode="0.0">
                  <c:v>2.1</c:v>
                </c:pt>
                <c:pt idx="86" formatCode="0.0">
                  <c:v>1.8</c:v>
                </c:pt>
                <c:pt idx="87" formatCode="0.0">
                  <c:v>1.6</c:v>
                </c:pt>
                <c:pt idx="88" formatCode="0.0">
                  <c:v>2.2999999999999998</c:v>
                </c:pt>
                <c:pt idx="89" formatCode="0.0">
                  <c:v>1.5</c:v>
                </c:pt>
                <c:pt idx="90" formatCode="0.0">
                  <c:v>2.4</c:v>
                </c:pt>
                <c:pt idx="91" formatCode="0.0">
                  <c:v>2.1</c:v>
                </c:pt>
                <c:pt idx="92" formatCode="0.0">
                  <c:v>2.1</c:v>
                </c:pt>
                <c:pt idx="93" formatCode="0.0">
                  <c:v>2.2000000000000002</c:v>
                </c:pt>
                <c:pt idx="94" formatCode="0.0">
                  <c:v>2.7</c:v>
                </c:pt>
                <c:pt idx="95" formatCode="0.0">
                  <c:v>2.2999999999999998</c:v>
                </c:pt>
                <c:pt idx="96" formatCode="0.0">
                  <c:v>2.1</c:v>
                </c:pt>
                <c:pt idx="97" formatCode="0.0">
                  <c:v>1.4</c:v>
                </c:pt>
                <c:pt idx="98" formatCode="0.0">
                  <c:v>1.5</c:v>
                </c:pt>
                <c:pt idx="99" formatCode="0.0">
                  <c:v>1</c:v>
                </c:pt>
                <c:pt idx="100" formatCode="0.0">
                  <c:v>1.8</c:v>
                </c:pt>
                <c:pt idx="101" formatCode="0.0">
                  <c:v>2.1</c:v>
                </c:pt>
                <c:pt idx="102" formatCode="0.0">
                  <c:v>2.4</c:v>
                </c:pt>
                <c:pt idx="103" formatCode="0.0">
                  <c:v>1.4</c:v>
                </c:pt>
                <c:pt idx="104">
                  <c:v>0.9</c:v>
                </c:pt>
                <c:pt idx="105">
                  <c:v>1.5</c:v>
                </c:pt>
                <c:pt idx="106">
                  <c:v>2.6</c:v>
                </c:pt>
                <c:pt idx="107">
                  <c:v>1.1000000000000001</c:v>
                </c:pt>
                <c:pt idx="108">
                  <c:v>1.5</c:v>
                </c:pt>
                <c:pt idx="109">
                  <c:v>3.3</c:v>
                </c:pt>
                <c:pt idx="110">
                  <c:v>1.2</c:v>
                </c:pt>
                <c:pt idx="111">
                  <c:v>1</c:v>
                </c:pt>
                <c:pt idx="112">
                  <c:v>1.7</c:v>
                </c:pt>
                <c:pt idx="113">
                  <c:v>1.2</c:v>
                </c:pt>
                <c:pt idx="114">
                  <c:v>1.5</c:v>
                </c:pt>
                <c:pt idx="115">
                  <c:v>1.6</c:v>
                </c:pt>
                <c:pt idx="116">
                  <c:v>1.1000000000000001</c:v>
                </c:pt>
                <c:pt idx="117">
                  <c:v>1.3</c:v>
                </c:pt>
                <c:pt idx="118">
                  <c:v>1.6</c:v>
                </c:pt>
                <c:pt idx="119">
                  <c:v>2</c:v>
                </c:pt>
                <c:pt idx="120">
                  <c:v>1.5</c:v>
                </c:pt>
                <c:pt idx="121">
                  <c:v>2.1</c:v>
                </c:pt>
                <c:pt idx="122">
                  <c:v>1.1000000000000001</c:v>
                </c:pt>
                <c:pt idx="123">
                  <c:v>1.2</c:v>
                </c:pt>
                <c:pt idx="124">
                  <c:v>1.3</c:v>
                </c:pt>
                <c:pt idx="125">
                  <c:v>1.2</c:v>
                </c:pt>
                <c:pt idx="126">
                  <c:v>2.4</c:v>
                </c:pt>
                <c:pt idx="127">
                  <c:v>2.2000000000000002</c:v>
                </c:pt>
                <c:pt idx="128">
                  <c:v>2.2000000000000002</c:v>
                </c:pt>
                <c:pt idx="129">
                  <c:v>2.7</c:v>
                </c:pt>
                <c:pt idx="130">
                  <c:v>2.9</c:v>
                </c:pt>
                <c:pt idx="131">
                  <c:v>1.6</c:v>
                </c:pt>
                <c:pt idx="132">
                  <c:v>1.7</c:v>
                </c:pt>
                <c:pt idx="133">
                  <c:v>2.5</c:v>
                </c:pt>
                <c:pt idx="134">
                  <c:v>2.2999999999999998</c:v>
                </c:pt>
                <c:pt idx="135">
                  <c:v>2.2000000000000002</c:v>
                </c:pt>
                <c:pt idx="136">
                  <c:v>2.2999999999999998</c:v>
                </c:pt>
                <c:pt idx="137">
                  <c:v>2.1</c:v>
                </c:pt>
                <c:pt idx="138">
                  <c:v>2.2999999999999998</c:v>
                </c:pt>
                <c:pt idx="139">
                  <c:v>2</c:v>
                </c:pt>
                <c:pt idx="140">
                  <c:v>2</c:v>
                </c:pt>
                <c:pt idx="141">
                  <c:v>2.1</c:v>
                </c:pt>
                <c:pt idx="142">
                  <c:v>2.2000000000000002</c:v>
                </c:pt>
                <c:pt idx="143">
                  <c:v>2.7</c:v>
                </c:pt>
                <c:pt idx="144">
                  <c:v>2.7</c:v>
                </c:pt>
                <c:pt idx="145">
                  <c:v>3.9</c:v>
                </c:pt>
                <c:pt idx="146">
                  <c:v>2.8</c:v>
                </c:pt>
                <c:pt idx="147">
                  <c:v>2.7</c:v>
                </c:pt>
                <c:pt idx="148">
                  <c:v>2.7</c:v>
                </c:pt>
                <c:pt idx="149">
                  <c:v>3.3</c:v>
                </c:pt>
                <c:pt idx="150">
                  <c:v>2.1</c:v>
                </c:pt>
                <c:pt idx="151">
                  <c:v>1.6</c:v>
                </c:pt>
                <c:pt idx="152">
                  <c:v>2.4</c:v>
                </c:pt>
                <c:pt idx="153">
                  <c:v>2.8</c:v>
                </c:pt>
                <c:pt idx="154">
                  <c:v>2.5</c:v>
                </c:pt>
                <c:pt idx="155">
                  <c:v>4.3</c:v>
                </c:pt>
                <c:pt idx="156">
                  <c:v>2.6</c:v>
                </c:pt>
                <c:pt idx="157">
                  <c:v>2.9</c:v>
                </c:pt>
                <c:pt idx="158">
                  <c:v>2</c:v>
                </c:pt>
                <c:pt idx="159">
                  <c:v>3.5</c:v>
                </c:pt>
                <c:pt idx="160">
                  <c:v>3.2</c:v>
                </c:pt>
                <c:pt idx="161">
                  <c:v>3.9</c:v>
                </c:pt>
                <c:pt idx="162">
                  <c:v>3.2</c:v>
                </c:pt>
                <c:pt idx="163">
                  <c:v>2.9</c:v>
                </c:pt>
                <c:pt idx="164">
                  <c:v>2.6</c:v>
                </c:pt>
                <c:pt idx="165">
                  <c:v>2.9</c:v>
                </c:pt>
                <c:pt idx="166">
                  <c:v>2</c:v>
                </c:pt>
                <c:pt idx="167">
                  <c:v>3.5</c:v>
                </c:pt>
                <c:pt idx="168">
                  <c:v>3.2</c:v>
                </c:pt>
                <c:pt idx="169">
                  <c:v>3.9</c:v>
                </c:pt>
                <c:pt idx="170">
                  <c:v>3.2</c:v>
                </c:pt>
                <c:pt idx="171">
                  <c:v>2.9</c:v>
                </c:pt>
                <c:pt idx="172">
                  <c:v>2.6</c:v>
                </c:pt>
                <c:pt idx="173">
                  <c:v>2.1</c:v>
                </c:pt>
                <c:pt idx="174">
                  <c:v>1.5</c:v>
                </c:pt>
                <c:pt idx="175">
                  <c:v>1.8</c:v>
                </c:pt>
                <c:pt idx="176">
                  <c:v>2.5</c:v>
                </c:pt>
                <c:pt idx="177">
                  <c:v>2</c:v>
                </c:pt>
                <c:pt idx="178">
                  <c:v>1</c:v>
                </c:pt>
                <c:pt idx="179">
                  <c:v>0.7</c:v>
                </c:pt>
                <c:pt idx="180">
                  <c:v>0.8</c:v>
                </c:pt>
                <c:pt idx="181">
                  <c:v>0.4</c:v>
                </c:pt>
                <c:pt idx="182">
                  <c:v>0.4</c:v>
                </c:pt>
                <c:pt idx="183">
                  <c:v>0.7</c:v>
                </c:pt>
                <c:pt idx="184">
                  <c:v>0.4</c:v>
                </c:pt>
                <c:pt idx="185">
                  <c:v>0.8</c:v>
                </c:pt>
                <c:pt idx="186">
                  <c:v>0.8</c:v>
                </c:pt>
                <c:pt idx="187">
                  <c:v>0.2</c:v>
                </c:pt>
                <c:pt idx="188">
                  <c:v>1.1000000000000001</c:v>
                </c:pt>
                <c:pt idx="189" formatCode="0.0">
                  <c:v>1.1000000000000001</c:v>
                </c:pt>
                <c:pt idx="190">
                  <c:v>1.3</c:v>
                </c:pt>
                <c:pt idx="191" formatCode="0.0">
                  <c:v>0.8</c:v>
                </c:pt>
                <c:pt idx="192" formatCode="0.0">
                  <c:v>1</c:v>
                </c:pt>
                <c:pt idx="193">
                  <c:v>1.1000000000000001</c:v>
                </c:pt>
                <c:pt idx="194" formatCode="0.0">
                  <c:v>1.5</c:v>
                </c:pt>
                <c:pt idx="195" formatCode="0.0">
                  <c:v>1.7</c:v>
                </c:pt>
                <c:pt idx="196" formatCode="0.0">
                  <c:v>1.3</c:v>
                </c:pt>
              </c:numCache>
            </c:numRef>
          </c:val>
          <c:smooth val="0"/>
          <c:extLst>
            <c:ext xmlns:c16="http://schemas.microsoft.com/office/drawing/2014/chart" uri="{C3380CC4-5D6E-409C-BE32-E72D297353CC}">
              <c16:uniqueId val="{00000000-9EB9-4DBC-A988-DAFB02835898}"/>
            </c:ext>
          </c:extLst>
        </c:ser>
        <c:ser>
          <c:idx val="1"/>
          <c:order val="1"/>
          <c:tx>
            <c:strRef>
              <c:f>Wollongong!$A$9</c:f>
              <c:strCache>
                <c:ptCount val="1"/>
                <c:pt idx="0">
                  <c:v>Other Illawarra</c:v>
                </c:pt>
              </c:strCache>
            </c:strRef>
          </c:tx>
          <c:spPr>
            <a:ln w="28575" cap="rnd">
              <a:solidFill>
                <a:srgbClr val="FF6600"/>
              </a:solidFill>
              <a:round/>
            </a:ln>
            <a:effectLst/>
          </c:spPr>
          <c:marker>
            <c:symbol val="none"/>
          </c:marker>
          <c:cat>
            <c:numRef>
              <c:f>Wollongong!$B$7:$GP$7</c:f>
              <c:numCache>
                <c:formatCode>mmm\-yy</c:formatCode>
                <c:ptCount val="197"/>
                <c:pt idx="0">
                  <c:v>38991</c:v>
                </c:pt>
                <c:pt idx="1">
                  <c:v>39022</c:v>
                </c:pt>
                <c:pt idx="2">
                  <c:v>39052</c:v>
                </c:pt>
                <c:pt idx="3">
                  <c:v>39083</c:v>
                </c:pt>
                <c:pt idx="4">
                  <c:v>39114</c:v>
                </c:pt>
                <c:pt idx="5">
                  <c:v>39142</c:v>
                </c:pt>
                <c:pt idx="6">
                  <c:v>39173</c:v>
                </c:pt>
                <c:pt idx="7">
                  <c:v>39203</c:v>
                </c:pt>
                <c:pt idx="8">
                  <c:v>39234</c:v>
                </c:pt>
                <c:pt idx="9">
                  <c:v>39264</c:v>
                </c:pt>
                <c:pt idx="10">
                  <c:v>39295</c:v>
                </c:pt>
                <c:pt idx="11">
                  <c:v>39326</c:v>
                </c:pt>
                <c:pt idx="12">
                  <c:v>39356</c:v>
                </c:pt>
                <c:pt idx="13">
                  <c:v>39387</c:v>
                </c:pt>
                <c:pt idx="14">
                  <c:v>39448</c:v>
                </c:pt>
                <c:pt idx="15">
                  <c:v>39479</c:v>
                </c:pt>
                <c:pt idx="16">
                  <c:v>39508</c:v>
                </c:pt>
                <c:pt idx="17">
                  <c:v>39539</c:v>
                </c:pt>
                <c:pt idx="18">
                  <c:v>39569</c:v>
                </c:pt>
                <c:pt idx="19">
                  <c:v>39600</c:v>
                </c:pt>
                <c:pt idx="20">
                  <c:v>39630</c:v>
                </c:pt>
                <c:pt idx="21">
                  <c:v>39661</c:v>
                </c:pt>
                <c:pt idx="22">
                  <c:v>39692</c:v>
                </c:pt>
                <c:pt idx="23">
                  <c:v>39722</c:v>
                </c:pt>
                <c:pt idx="24">
                  <c:v>39753</c:v>
                </c:pt>
                <c:pt idx="25">
                  <c:v>39783</c:v>
                </c:pt>
                <c:pt idx="26">
                  <c:v>39814</c:v>
                </c:pt>
                <c:pt idx="27">
                  <c:v>39845</c:v>
                </c:pt>
                <c:pt idx="28">
                  <c:v>39873</c:v>
                </c:pt>
                <c:pt idx="29">
                  <c:v>39904</c:v>
                </c:pt>
                <c:pt idx="30">
                  <c:v>39934</c:v>
                </c:pt>
                <c:pt idx="31">
                  <c:v>39965</c:v>
                </c:pt>
                <c:pt idx="32">
                  <c:v>39995</c:v>
                </c:pt>
                <c:pt idx="33">
                  <c:v>40026</c:v>
                </c:pt>
                <c:pt idx="34">
                  <c:v>40057</c:v>
                </c:pt>
                <c:pt idx="35">
                  <c:v>40087</c:v>
                </c:pt>
                <c:pt idx="36">
                  <c:v>40118</c:v>
                </c:pt>
                <c:pt idx="37">
                  <c:v>40148</c:v>
                </c:pt>
                <c:pt idx="38">
                  <c:v>40179</c:v>
                </c:pt>
                <c:pt idx="39">
                  <c:v>40210</c:v>
                </c:pt>
                <c:pt idx="40">
                  <c:v>40238</c:v>
                </c:pt>
                <c:pt idx="41">
                  <c:v>40269</c:v>
                </c:pt>
                <c:pt idx="42">
                  <c:v>40299</c:v>
                </c:pt>
                <c:pt idx="43">
                  <c:v>40330</c:v>
                </c:pt>
                <c:pt idx="44">
                  <c:v>40360</c:v>
                </c:pt>
                <c:pt idx="45">
                  <c:v>40391</c:v>
                </c:pt>
                <c:pt idx="46">
                  <c:v>40422</c:v>
                </c:pt>
                <c:pt idx="47">
                  <c:v>40452</c:v>
                </c:pt>
                <c:pt idx="48">
                  <c:v>40483</c:v>
                </c:pt>
                <c:pt idx="49">
                  <c:v>40513</c:v>
                </c:pt>
                <c:pt idx="50">
                  <c:v>40544</c:v>
                </c:pt>
                <c:pt idx="51">
                  <c:v>40575</c:v>
                </c:pt>
                <c:pt idx="52">
                  <c:v>40603</c:v>
                </c:pt>
                <c:pt idx="53">
                  <c:v>40634</c:v>
                </c:pt>
                <c:pt idx="54">
                  <c:v>40664</c:v>
                </c:pt>
                <c:pt idx="55">
                  <c:v>40695</c:v>
                </c:pt>
                <c:pt idx="56">
                  <c:v>40725</c:v>
                </c:pt>
                <c:pt idx="57">
                  <c:v>40756</c:v>
                </c:pt>
                <c:pt idx="58">
                  <c:v>40787</c:v>
                </c:pt>
                <c:pt idx="59">
                  <c:v>40817</c:v>
                </c:pt>
                <c:pt idx="60">
                  <c:v>40848</c:v>
                </c:pt>
                <c:pt idx="61">
                  <c:v>40878</c:v>
                </c:pt>
                <c:pt idx="62">
                  <c:v>40909</c:v>
                </c:pt>
                <c:pt idx="63">
                  <c:v>40940</c:v>
                </c:pt>
                <c:pt idx="64">
                  <c:v>40969</c:v>
                </c:pt>
                <c:pt idx="65">
                  <c:v>41000</c:v>
                </c:pt>
                <c:pt idx="66">
                  <c:v>41030</c:v>
                </c:pt>
                <c:pt idx="67">
                  <c:v>41061</c:v>
                </c:pt>
                <c:pt idx="68">
                  <c:v>41091</c:v>
                </c:pt>
                <c:pt idx="69">
                  <c:v>41122</c:v>
                </c:pt>
                <c:pt idx="70">
                  <c:v>41153</c:v>
                </c:pt>
                <c:pt idx="71">
                  <c:v>41183</c:v>
                </c:pt>
                <c:pt idx="72">
                  <c:v>41214</c:v>
                </c:pt>
                <c:pt idx="73">
                  <c:v>41244</c:v>
                </c:pt>
                <c:pt idx="74">
                  <c:v>41275</c:v>
                </c:pt>
                <c:pt idx="75">
                  <c:v>41306</c:v>
                </c:pt>
                <c:pt idx="76">
                  <c:v>41334</c:v>
                </c:pt>
                <c:pt idx="77">
                  <c:v>41365</c:v>
                </c:pt>
                <c:pt idx="78">
                  <c:v>41395</c:v>
                </c:pt>
                <c:pt idx="79">
                  <c:v>41426</c:v>
                </c:pt>
                <c:pt idx="80">
                  <c:v>41456</c:v>
                </c:pt>
                <c:pt idx="81">
                  <c:v>41487</c:v>
                </c:pt>
                <c:pt idx="82">
                  <c:v>41518</c:v>
                </c:pt>
                <c:pt idx="83">
                  <c:v>41548</c:v>
                </c:pt>
                <c:pt idx="84">
                  <c:v>41579</c:v>
                </c:pt>
                <c:pt idx="85">
                  <c:v>41609</c:v>
                </c:pt>
                <c:pt idx="86">
                  <c:v>41640</c:v>
                </c:pt>
                <c:pt idx="87">
                  <c:v>41671</c:v>
                </c:pt>
                <c:pt idx="88">
                  <c:v>41699</c:v>
                </c:pt>
                <c:pt idx="89">
                  <c:v>41730</c:v>
                </c:pt>
                <c:pt idx="90">
                  <c:v>41760</c:v>
                </c:pt>
                <c:pt idx="91">
                  <c:v>41791</c:v>
                </c:pt>
                <c:pt idx="92">
                  <c:v>41821</c:v>
                </c:pt>
                <c:pt idx="93">
                  <c:v>41852</c:v>
                </c:pt>
                <c:pt idx="94">
                  <c:v>41883</c:v>
                </c:pt>
                <c:pt idx="95">
                  <c:v>41944</c:v>
                </c:pt>
                <c:pt idx="96">
                  <c:v>41974</c:v>
                </c:pt>
                <c:pt idx="97">
                  <c:v>42005</c:v>
                </c:pt>
                <c:pt idx="98">
                  <c:v>42036</c:v>
                </c:pt>
                <c:pt idx="99">
                  <c:v>42064</c:v>
                </c:pt>
                <c:pt idx="100">
                  <c:v>42095</c:v>
                </c:pt>
                <c:pt idx="101">
                  <c:v>42125</c:v>
                </c:pt>
                <c:pt idx="102">
                  <c:v>42156</c:v>
                </c:pt>
                <c:pt idx="103">
                  <c:v>42186</c:v>
                </c:pt>
                <c:pt idx="104">
                  <c:v>42217</c:v>
                </c:pt>
                <c:pt idx="105">
                  <c:v>42248</c:v>
                </c:pt>
                <c:pt idx="106">
                  <c:v>42278</c:v>
                </c:pt>
                <c:pt idx="107">
                  <c:v>42309</c:v>
                </c:pt>
                <c:pt idx="108">
                  <c:v>42339</c:v>
                </c:pt>
                <c:pt idx="109">
                  <c:v>42370</c:v>
                </c:pt>
                <c:pt idx="110">
                  <c:v>42401</c:v>
                </c:pt>
                <c:pt idx="111">
                  <c:v>42430</c:v>
                </c:pt>
                <c:pt idx="112">
                  <c:v>42461</c:v>
                </c:pt>
                <c:pt idx="113">
                  <c:v>42491</c:v>
                </c:pt>
                <c:pt idx="114">
                  <c:v>42522</c:v>
                </c:pt>
                <c:pt idx="115">
                  <c:v>42552</c:v>
                </c:pt>
                <c:pt idx="116">
                  <c:v>42583</c:v>
                </c:pt>
                <c:pt idx="117">
                  <c:v>42614</c:v>
                </c:pt>
                <c:pt idx="118">
                  <c:v>42644</c:v>
                </c:pt>
                <c:pt idx="119">
                  <c:v>42675</c:v>
                </c:pt>
                <c:pt idx="120">
                  <c:v>42705</c:v>
                </c:pt>
                <c:pt idx="121">
                  <c:v>42736</c:v>
                </c:pt>
                <c:pt idx="122">
                  <c:v>42767</c:v>
                </c:pt>
                <c:pt idx="123">
                  <c:v>42795</c:v>
                </c:pt>
                <c:pt idx="124">
                  <c:v>42826</c:v>
                </c:pt>
                <c:pt idx="125">
                  <c:v>42856</c:v>
                </c:pt>
                <c:pt idx="126">
                  <c:v>42887</c:v>
                </c:pt>
                <c:pt idx="127">
                  <c:v>42917</c:v>
                </c:pt>
                <c:pt idx="128">
                  <c:v>42948</c:v>
                </c:pt>
                <c:pt idx="129">
                  <c:v>42979</c:v>
                </c:pt>
                <c:pt idx="130">
                  <c:v>43009</c:v>
                </c:pt>
                <c:pt idx="131">
                  <c:v>43040</c:v>
                </c:pt>
                <c:pt idx="132">
                  <c:v>43070</c:v>
                </c:pt>
                <c:pt idx="133">
                  <c:v>43101</c:v>
                </c:pt>
                <c:pt idx="134">
                  <c:v>43132</c:v>
                </c:pt>
                <c:pt idx="135">
                  <c:v>43160</c:v>
                </c:pt>
                <c:pt idx="136">
                  <c:v>43191</c:v>
                </c:pt>
                <c:pt idx="137">
                  <c:v>43221</c:v>
                </c:pt>
                <c:pt idx="138">
                  <c:v>43252</c:v>
                </c:pt>
                <c:pt idx="139">
                  <c:v>43282</c:v>
                </c:pt>
                <c:pt idx="140">
                  <c:v>43313</c:v>
                </c:pt>
                <c:pt idx="141">
                  <c:v>43344</c:v>
                </c:pt>
                <c:pt idx="142">
                  <c:v>43374</c:v>
                </c:pt>
                <c:pt idx="143">
                  <c:v>43405</c:v>
                </c:pt>
                <c:pt idx="144">
                  <c:v>43435</c:v>
                </c:pt>
                <c:pt idx="145">
                  <c:v>43466</c:v>
                </c:pt>
                <c:pt idx="146">
                  <c:v>43497</c:v>
                </c:pt>
                <c:pt idx="147">
                  <c:v>43525</c:v>
                </c:pt>
                <c:pt idx="148">
                  <c:v>43556</c:v>
                </c:pt>
                <c:pt idx="149">
                  <c:v>43586</c:v>
                </c:pt>
                <c:pt idx="150">
                  <c:v>43617</c:v>
                </c:pt>
                <c:pt idx="151">
                  <c:v>43647</c:v>
                </c:pt>
                <c:pt idx="152">
                  <c:v>43678</c:v>
                </c:pt>
                <c:pt idx="153">
                  <c:v>43709</c:v>
                </c:pt>
                <c:pt idx="154">
                  <c:v>43739</c:v>
                </c:pt>
                <c:pt idx="155">
                  <c:v>43770</c:v>
                </c:pt>
                <c:pt idx="156">
                  <c:v>43800</c:v>
                </c:pt>
                <c:pt idx="157">
                  <c:v>43831</c:v>
                </c:pt>
                <c:pt idx="158">
                  <c:v>43862</c:v>
                </c:pt>
                <c:pt idx="159">
                  <c:v>43891</c:v>
                </c:pt>
                <c:pt idx="160">
                  <c:v>43922</c:v>
                </c:pt>
                <c:pt idx="161">
                  <c:v>43952</c:v>
                </c:pt>
                <c:pt idx="162">
                  <c:v>43983</c:v>
                </c:pt>
                <c:pt idx="163">
                  <c:v>44013</c:v>
                </c:pt>
                <c:pt idx="164">
                  <c:v>44044</c:v>
                </c:pt>
                <c:pt idx="165">
                  <c:v>44075</c:v>
                </c:pt>
                <c:pt idx="166">
                  <c:v>44105</c:v>
                </c:pt>
                <c:pt idx="167">
                  <c:v>44136</c:v>
                </c:pt>
                <c:pt idx="168">
                  <c:v>44166</c:v>
                </c:pt>
                <c:pt idx="169">
                  <c:v>44197</c:v>
                </c:pt>
                <c:pt idx="170">
                  <c:v>44228</c:v>
                </c:pt>
                <c:pt idx="171">
                  <c:v>44256</c:v>
                </c:pt>
                <c:pt idx="172">
                  <c:v>44287</c:v>
                </c:pt>
                <c:pt idx="173">
                  <c:v>44317</c:v>
                </c:pt>
                <c:pt idx="174">
                  <c:v>44348</c:v>
                </c:pt>
                <c:pt idx="175">
                  <c:v>44378</c:v>
                </c:pt>
                <c:pt idx="176">
                  <c:v>44409</c:v>
                </c:pt>
                <c:pt idx="177">
                  <c:v>44440</c:v>
                </c:pt>
                <c:pt idx="178">
                  <c:v>44470</c:v>
                </c:pt>
                <c:pt idx="179">
                  <c:v>44501</c:v>
                </c:pt>
                <c:pt idx="180">
                  <c:v>44531</c:v>
                </c:pt>
                <c:pt idx="181">
                  <c:v>44562</c:v>
                </c:pt>
                <c:pt idx="182">
                  <c:v>44593</c:v>
                </c:pt>
                <c:pt idx="183">
                  <c:v>44621</c:v>
                </c:pt>
                <c:pt idx="184">
                  <c:v>44652</c:v>
                </c:pt>
                <c:pt idx="185">
                  <c:v>44682</c:v>
                </c:pt>
                <c:pt idx="186">
                  <c:v>44713</c:v>
                </c:pt>
                <c:pt idx="187">
                  <c:v>44743</c:v>
                </c:pt>
                <c:pt idx="188">
                  <c:v>44774</c:v>
                </c:pt>
                <c:pt idx="189">
                  <c:v>44805</c:v>
                </c:pt>
                <c:pt idx="190">
                  <c:v>44835</c:v>
                </c:pt>
                <c:pt idx="191">
                  <c:v>44866</c:v>
                </c:pt>
                <c:pt idx="192">
                  <c:v>44896</c:v>
                </c:pt>
                <c:pt idx="193">
                  <c:v>44927</c:v>
                </c:pt>
                <c:pt idx="194">
                  <c:v>44958</c:v>
                </c:pt>
                <c:pt idx="195">
                  <c:v>44986</c:v>
                </c:pt>
                <c:pt idx="196">
                  <c:v>45017</c:v>
                </c:pt>
              </c:numCache>
            </c:numRef>
          </c:cat>
          <c:val>
            <c:numRef>
              <c:f>Wollongong!$B$9:$GP$9</c:f>
              <c:numCache>
                <c:formatCode>0.0</c:formatCode>
                <c:ptCount val="197"/>
                <c:pt idx="0" formatCode="General">
                  <c:v>3.2</c:v>
                </c:pt>
                <c:pt idx="1">
                  <c:v>4</c:v>
                </c:pt>
                <c:pt idx="2">
                  <c:v>3</c:v>
                </c:pt>
                <c:pt idx="3" formatCode="General">
                  <c:v>3.4</c:v>
                </c:pt>
                <c:pt idx="4" formatCode="General">
                  <c:v>3.6</c:v>
                </c:pt>
                <c:pt idx="5" formatCode="General">
                  <c:v>3.6</c:v>
                </c:pt>
                <c:pt idx="6" formatCode="General">
                  <c:v>2.6</c:v>
                </c:pt>
                <c:pt idx="7" formatCode="General">
                  <c:v>3.7</c:v>
                </c:pt>
                <c:pt idx="8" formatCode="General">
                  <c:v>3.6</c:v>
                </c:pt>
                <c:pt idx="9" formatCode="General">
                  <c:v>2.8</c:v>
                </c:pt>
                <c:pt idx="10" formatCode="General">
                  <c:v>2.4</c:v>
                </c:pt>
                <c:pt idx="11" formatCode="General">
                  <c:v>2.2000000000000002</c:v>
                </c:pt>
                <c:pt idx="12" formatCode="General">
                  <c:v>2.2999999999999998</c:v>
                </c:pt>
                <c:pt idx="13" formatCode="General">
                  <c:v>1.4</c:v>
                </c:pt>
                <c:pt idx="14" formatCode="General">
                  <c:v>1.5</c:v>
                </c:pt>
                <c:pt idx="15">
                  <c:v>1</c:v>
                </c:pt>
                <c:pt idx="16" formatCode="General">
                  <c:v>2.6</c:v>
                </c:pt>
                <c:pt idx="17" formatCode="General">
                  <c:v>1.9</c:v>
                </c:pt>
                <c:pt idx="18" formatCode="General">
                  <c:v>1.6</c:v>
                </c:pt>
                <c:pt idx="19" formatCode="General">
                  <c:v>3.4</c:v>
                </c:pt>
                <c:pt idx="20">
                  <c:v>2.2999999999999998</c:v>
                </c:pt>
                <c:pt idx="21" formatCode="General">
                  <c:v>2.6</c:v>
                </c:pt>
                <c:pt idx="22" formatCode="General">
                  <c:v>2.4</c:v>
                </c:pt>
                <c:pt idx="23" formatCode="General">
                  <c:v>1.9</c:v>
                </c:pt>
                <c:pt idx="24" formatCode="General">
                  <c:v>0.7</c:v>
                </c:pt>
                <c:pt idx="25" formatCode="General">
                  <c:v>2.9</c:v>
                </c:pt>
                <c:pt idx="26">
                  <c:v>3</c:v>
                </c:pt>
                <c:pt idx="27" formatCode="General">
                  <c:v>2.7</c:v>
                </c:pt>
                <c:pt idx="28" formatCode="General">
                  <c:v>2.7</c:v>
                </c:pt>
                <c:pt idx="29" formatCode="General">
                  <c:v>1.4</c:v>
                </c:pt>
                <c:pt idx="30" formatCode="General">
                  <c:v>2.7</c:v>
                </c:pt>
                <c:pt idx="31" formatCode="General">
                  <c:v>1.8</c:v>
                </c:pt>
                <c:pt idx="32" formatCode="General">
                  <c:v>1.8</c:v>
                </c:pt>
                <c:pt idx="33" formatCode="General">
                  <c:v>1.3</c:v>
                </c:pt>
                <c:pt idx="34" formatCode="General">
                  <c:v>1.8</c:v>
                </c:pt>
                <c:pt idx="35" formatCode="General">
                  <c:v>1.7</c:v>
                </c:pt>
                <c:pt idx="36" formatCode="General">
                  <c:v>1.1000000000000001</c:v>
                </c:pt>
                <c:pt idx="37" formatCode="General">
                  <c:v>1.1000000000000001</c:v>
                </c:pt>
                <c:pt idx="38" formatCode="General">
                  <c:v>0.8</c:v>
                </c:pt>
                <c:pt idx="39" formatCode="General">
                  <c:v>1.5</c:v>
                </c:pt>
                <c:pt idx="40" formatCode="General">
                  <c:v>1.2</c:v>
                </c:pt>
                <c:pt idx="41">
                  <c:v>1</c:v>
                </c:pt>
                <c:pt idx="42" formatCode="General">
                  <c:v>1.4</c:v>
                </c:pt>
                <c:pt idx="43" formatCode="General">
                  <c:v>1.5</c:v>
                </c:pt>
                <c:pt idx="44" formatCode="General">
                  <c:v>1.7</c:v>
                </c:pt>
                <c:pt idx="45" formatCode="General">
                  <c:v>1.6</c:v>
                </c:pt>
                <c:pt idx="46" formatCode="General">
                  <c:v>1.4</c:v>
                </c:pt>
                <c:pt idx="47" formatCode="General">
                  <c:v>1.6</c:v>
                </c:pt>
                <c:pt idx="48" formatCode="General">
                  <c:v>1.8</c:v>
                </c:pt>
                <c:pt idx="49" formatCode="General">
                  <c:v>1.9</c:v>
                </c:pt>
                <c:pt idx="50">
                  <c:v>2</c:v>
                </c:pt>
                <c:pt idx="51" formatCode="General">
                  <c:v>1.4</c:v>
                </c:pt>
                <c:pt idx="52" formatCode="General">
                  <c:v>1.5</c:v>
                </c:pt>
                <c:pt idx="53" formatCode="General">
                  <c:v>1.2</c:v>
                </c:pt>
                <c:pt idx="54" formatCode="General">
                  <c:v>1.3</c:v>
                </c:pt>
                <c:pt idx="55" formatCode="General">
                  <c:v>1.4</c:v>
                </c:pt>
                <c:pt idx="56" formatCode="General">
                  <c:v>1.3</c:v>
                </c:pt>
                <c:pt idx="57" formatCode="General">
                  <c:v>1.5</c:v>
                </c:pt>
                <c:pt idx="58" formatCode="General">
                  <c:v>1.3</c:v>
                </c:pt>
                <c:pt idx="59" formatCode="General">
                  <c:v>1.4</c:v>
                </c:pt>
                <c:pt idx="60" formatCode="General">
                  <c:v>1.6</c:v>
                </c:pt>
                <c:pt idx="61" formatCode="General">
                  <c:v>1.4</c:v>
                </c:pt>
                <c:pt idx="62">
                  <c:v>2</c:v>
                </c:pt>
                <c:pt idx="63" formatCode="General">
                  <c:v>2.5</c:v>
                </c:pt>
                <c:pt idx="64" formatCode="General">
                  <c:v>1.7</c:v>
                </c:pt>
                <c:pt idx="65">
                  <c:v>2</c:v>
                </c:pt>
                <c:pt idx="66" formatCode="General">
                  <c:v>1.5</c:v>
                </c:pt>
                <c:pt idx="67">
                  <c:v>2</c:v>
                </c:pt>
                <c:pt idx="68" formatCode="General">
                  <c:v>2.2000000000000002</c:v>
                </c:pt>
                <c:pt idx="69">
                  <c:v>2.2999999999999998</c:v>
                </c:pt>
                <c:pt idx="70" formatCode="General">
                  <c:v>1.3</c:v>
                </c:pt>
                <c:pt idx="71">
                  <c:v>2.2000000000000002</c:v>
                </c:pt>
                <c:pt idx="72">
                  <c:v>2</c:v>
                </c:pt>
                <c:pt idx="73">
                  <c:v>1.9</c:v>
                </c:pt>
                <c:pt idx="74">
                  <c:v>1.8</c:v>
                </c:pt>
                <c:pt idx="75">
                  <c:v>2</c:v>
                </c:pt>
                <c:pt idx="76">
                  <c:v>1.9</c:v>
                </c:pt>
                <c:pt idx="77">
                  <c:v>1.6</c:v>
                </c:pt>
                <c:pt idx="78">
                  <c:v>1.7</c:v>
                </c:pt>
                <c:pt idx="79">
                  <c:v>2</c:v>
                </c:pt>
                <c:pt idx="80">
                  <c:v>2.2000000000000002</c:v>
                </c:pt>
                <c:pt idx="81">
                  <c:v>1.7</c:v>
                </c:pt>
                <c:pt idx="82">
                  <c:v>2.1</c:v>
                </c:pt>
                <c:pt idx="83">
                  <c:v>1.6</c:v>
                </c:pt>
                <c:pt idx="84">
                  <c:v>1.6</c:v>
                </c:pt>
                <c:pt idx="85">
                  <c:v>1.3</c:v>
                </c:pt>
                <c:pt idx="86">
                  <c:v>1.8</c:v>
                </c:pt>
                <c:pt idx="87">
                  <c:v>1.7</c:v>
                </c:pt>
                <c:pt idx="88">
                  <c:v>1.7</c:v>
                </c:pt>
                <c:pt idx="89">
                  <c:v>1.7</c:v>
                </c:pt>
                <c:pt idx="90">
                  <c:v>1.5</c:v>
                </c:pt>
                <c:pt idx="91">
                  <c:v>1.6</c:v>
                </c:pt>
                <c:pt idx="92">
                  <c:v>2.1</c:v>
                </c:pt>
                <c:pt idx="93">
                  <c:v>1.8</c:v>
                </c:pt>
                <c:pt idx="94">
                  <c:v>2</c:v>
                </c:pt>
                <c:pt idx="95">
                  <c:v>1.7</c:v>
                </c:pt>
                <c:pt idx="96">
                  <c:v>1.3</c:v>
                </c:pt>
                <c:pt idx="97">
                  <c:v>2</c:v>
                </c:pt>
                <c:pt idx="98">
                  <c:v>1.2</c:v>
                </c:pt>
                <c:pt idx="99">
                  <c:v>1</c:v>
                </c:pt>
                <c:pt idx="100">
                  <c:v>1</c:v>
                </c:pt>
                <c:pt idx="101">
                  <c:v>1.6</c:v>
                </c:pt>
                <c:pt idx="102">
                  <c:v>1.2</c:v>
                </c:pt>
                <c:pt idx="103">
                  <c:v>2.2999999999999998</c:v>
                </c:pt>
                <c:pt idx="104" formatCode="General">
                  <c:v>1.9</c:v>
                </c:pt>
                <c:pt idx="105" formatCode="General">
                  <c:v>1.6</c:v>
                </c:pt>
                <c:pt idx="106" formatCode="General">
                  <c:v>1.2</c:v>
                </c:pt>
                <c:pt idx="107" formatCode="General">
                  <c:v>1</c:v>
                </c:pt>
                <c:pt idx="108" formatCode="General">
                  <c:v>0.4</c:v>
                </c:pt>
                <c:pt idx="109" formatCode="General">
                  <c:v>1</c:v>
                </c:pt>
                <c:pt idx="110" formatCode="General">
                  <c:v>1.2</c:v>
                </c:pt>
                <c:pt idx="111" formatCode="General">
                  <c:v>1.5</c:v>
                </c:pt>
                <c:pt idx="112" formatCode="General">
                  <c:v>1.8</c:v>
                </c:pt>
                <c:pt idx="113" formatCode="General">
                  <c:v>1.7</c:v>
                </c:pt>
                <c:pt idx="114" formatCode="General">
                  <c:v>2</c:v>
                </c:pt>
                <c:pt idx="115" formatCode="General">
                  <c:v>2.1</c:v>
                </c:pt>
                <c:pt idx="116" formatCode="General">
                  <c:v>2.4</c:v>
                </c:pt>
                <c:pt idx="117" formatCode="General">
                  <c:v>1.4</c:v>
                </c:pt>
                <c:pt idx="118" formatCode="General">
                  <c:v>1.6</c:v>
                </c:pt>
                <c:pt idx="119" formatCode="General">
                  <c:v>1.1000000000000001</c:v>
                </c:pt>
                <c:pt idx="120" formatCode="General">
                  <c:v>1.1000000000000001</c:v>
                </c:pt>
                <c:pt idx="121" formatCode="General">
                  <c:v>0.8</c:v>
                </c:pt>
                <c:pt idx="122" formatCode="General">
                  <c:v>0.9</c:v>
                </c:pt>
                <c:pt idx="123" formatCode="General">
                  <c:v>1.9</c:v>
                </c:pt>
                <c:pt idx="124" formatCode="General">
                  <c:v>1.5</c:v>
                </c:pt>
                <c:pt idx="125" formatCode="General">
                  <c:v>2.2999999999999998</c:v>
                </c:pt>
                <c:pt idx="126" formatCode="General">
                  <c:v>2.6</c:v>
                </c:pt>
                <c:pt idx="127" formatCode="General">
                  <c:v>2.5</c:v>
                </c:pt>
                <c:pt idx="128" formatCode="General">
                  <c:v>1.9</c:v>
                </c:pt>
                <c:pt idx="129" formatCode="General">
                  <c:v>1.7</c:v>
                </c:pt>
                <c:pt idx="130" formatCode="General">
                  <c:v>2.2000000000000002</c:v>
                </c:pt>
                <c:pt idx="131" formatCode="General">
                  <c:v>1.9</c:v>
                </c:pt>
                <c:pt idx="132" formatCode="General">
                  <c:v>1.7</c:v>
                </c:pt>
                <c:pt idx="133" formatCode="General">
                  <c:v>1.6</c:v>
                </c:pt>
                <c:pt idx="134" formatCode="General">
                  <c:v>1.7</c:v>
                </c:pt>
                <c:pt idx="135" formatCode="General">
                  <c:v>1.6</c:v>
                </c:pt>
                <c:pt idx="136" formatCode="General">
                  <c:v>1.9</c:v>
                </c:pt>
                <c:pt idx="137" formatCode="General">
                  <c:v>2.8</c:v>
                </c:pt>
                <c:pt idx="138" formatCode="General">
                  <c:v>2.9</c:v>
                </c:pt>
                <c:pt idx="139" formatCode="General">
                  <c:v>1.9</c:v>
                </c:pt>
                <c:pt idx="140" formatCode="General">
                  <c:v>1.7</c:v>
                </c:pt>
                <c:pt idx="141" formatCode="General">
                  <c:v>0.7</c:v>
                </c:pt>
                <c:pt idx="142" formatCode="General">
                  <c:v>1.3</c:v>
                </c:pt>
                <c:pt idx="143" formatCode="General">
                  <c:v>3</c:v>
                </c:pt>
                <c:pt idx="144" formatCode="General">
                  <c:v>1</c:v>
                </c:pt>
                <c:pt idx="145" formatCode="General">
                  <c:v>2.9</c:v>
                </c:pt>
                <c:pt idx="146" formatCode="General">
                  <c:v>1.9</c:v>
                </c:pt>
                <c:pt idx="147" formatCode="General">
                  <c:v>1.4</c:v>
                </c:pt>
                <c:pt idx="148" formatCode="General">
                  <c:v>2.1</c:v>
                </c:pt>
                <c:pt idx="149" formatCode="General">
                  <c:v>2.9</c:v>
                </c:pt>
                <c:pt idx="150" formatCode="General">
                  <c:v>2.6</c:v>
                </c:pt>
                <c:pt idx="151" formatCode="General">
                  <c:v>3.3</c:v>
                </c:pt>
                <c:pt idx="152" formatCode="General">
                  <c:v>2.2999999999999998</c:v>
                </c:pt>
                <c:pt idx="153" formatCode="General">
                  <c:v>1.5</c:v>
                </c:pt>
                <c:pt idx="154" formatCode="General">
                  <c:v>1.3</c:v>
                </c:pt>
                <c:pt idx="155" formatCode="General">
                  <c:v>3</c:v>
                </c:pt>
                <c:pt idx="156" formatCode="General">
                  <c:v>1</c:v>
                </c:pt>
                <c:pt idx="157" formatCode="General">
                  <c:v>2.2999999999999998</c:v>
                </c:pt>
                <c:pt idx="158" formatCode="General">
                  <c:v>2.2999999999999998</c:v>
                </c:pt>
                <c:pt idx="159" formatCode="General">
                  <c:v>4.3</c:v>
                </c:pt>
                <c:pt idx="160" formatCode="General">
                  <c:v>4.3</c:v>
                </c:pt>
                <c:pt idx="161" formatCode="General">
                  <c:v>2.9</c:v>
                </c:pt>
                <c:pt idx="162" formatCode="General">
                  <c:v>2.9</c:v>
                </c:pt>
                <c:pt idx="163" formatCode="General">
                  <c:v>2.6</c:v>
                </c:pt>
                <c:pt idx="164" formatCode="General">
                  <c:v>1.1000000000000001</c:v>
                </c:pt>
                <c:pt idx="165" formatCode="General">
                  <c:v>2.2999999999999998</c:v>
                </c:pt>
                <c:pt idx="166" formatCode="General">
                  <c:v>2.2999999999999998</c:v>
                </c:pt>
                <c:pt idx="167" formatCode="General">
                  <c:v>4.3</c:v>
                </c:pt>
                <c:pt idx="168" formatCode="General">
                  <c:v>4.3</c:v>
                </c:pt>
                <c:pt idx="169" formatCode="General">
                  <c:v>2.9</c:v>
                </c:pt>
                <c:pt idx="170" formatCode="General">
                  <c:v>2.9</c:v>
                </c:pt>
                <c:pt idx="171" formatCode="General">
                  <c:v>2.6</c:v>
                </c:pt>
                <c:pt idx="172" formatCode="General">
                  <c:v>1.1000000000000001</c:v>
                </c:pt>
                <c:pt idx="173" formatCode="General">
                  <c:v>0.7</c:v>
                </c:pt>
                <c:pt idx="174" formatCode="General">
                  <c:v>2.2000000000000002</c:v>
                </c:pt>
                <c:pt idx="175" formatCode="General">
                  <c:v>0.9</c:v>
                </c:pt>
                <c:pt idx="176" formatCode="General">
                  <c:v>0.8</c:v>
                </c:pt>
                <c:pt idx="177" formatCode="General">
                  <c:v>1.8</c:v>
                </c:pt>
                <c:pt idx="178" formatCode="General">
                  <c:v>1.5</c:v>
                </c:pt>
                <c:pt idx="179" formatCode="General">
                  <c:v>1.2</c:v>
                </c:pt>
                <c:pt idx="180" formatCode="General">
                  <c:v>1.8</c:v>
                </c:pt>
                <c:pt idx="181" formatCode="General">
                  <c:v>0.5</c:v>
                </c:pt>
                <c:pt idx="182" formatCode="General">
                  <c:v>1.8</c:v>
                </c:pt>
                <c:pt idx="183" formatCode="General">
                  <c:v>0.5</c:v>
                </c:pt>
                <c:pt idx="184" formatCode="General">
                  <c:v>2</c:v>
                </c:pt>
                <c:pt idx="185" formatCode="General">
                  <c:v>1.2</c:v>
                </c:pt>
                <c:pt idx="186" formatCode="General">
                  <c:v>1</c:v>
                </c:pt>
                <c:pt idx="187" formatCode="General">
                  <c:v>2</c:v>
                </c:pt>
                <c:pt idx="188" formatCode="General">
                  <c:v>1.2</c:v>
                </c:pt>
                <c:pt idx="189">
                  <c:v>3.5</c:v>
                </c:pt>
                <c:pt idx="190" formatCode="General">
                  <c:v>2.2999999999999998</c:v>
                </c:pt>
                <c:pt idx="191">
                  <c:v>1.3</c:v>
                </c:pt>
                <c:pt idx="192">
                  <c:v>2</c:v>
                </c:pt>
                <c:pt idx="193" formatCode="General">
                  <c:v>1.7</c:v>
                </c:pt>
                <c:pt idx="194">
                  <c:v>2.9</c:v>
                </c:pt>
                <c:pt idx="195">
                  <c:v>1.9</c:v>
                </c:pt>
                <c:pt idx="196">
                  <c:v>1.7</c:v>
                </c:pt>
              </c:numCache>
            </c:numRef>
          </c:val>
          <c:smooth val="0"/>
          <c:extLst>
            <c:ext xmlns:c16="http://schemas.microsoft.com/office/drawing/2014/chart" uri="{C3380CC4-5D6E-409C-BE32-E72D297353CC}">
              <c16:uniqueId val="{00000001-9EB9-4DBC-A988-DAFB02835898}"/>
            </c:ext>
          </c:extLst>
        </c:ser>
        <c:ser>
          <c:idx val="2"/>
          <c:order val="2"/>
          <c:tx>
            <c:strRef>
              <c:f>Wollongong!$A$10</c:f>
              <c:strCache>
                <c:ptCount val="1"/>
                <c:pt idx="0">
                  <c:v>Supply Demand Balance</c:v>
                </c:pt>
              </c:strCache>
            </c:strRef>
          </c:tx>
          <c:spPr>
            <a:ln w="28575" cap="rnd">
              <a:solidFill>
                <a:srgbClr val="FF33CC"/>
              </a:solidFill>
              <a:round/>
            </a:ln>
            <a:effectLst/>
          </c:spPr>
          <c:marker>
            <c:symbol val="none"/>
          </c:marker>
          <c:cat>
            <c:numRef>
              <c:f>Wollongong!$B$7:$GP$7</c:f>
              <c:numCache>
                <c:formatCode>mmm\-yy</c:formatCode>
                <c:ptCount val="197"/>
                <c:pt idx="0">
                  <c:v>38991</c:v>
                </c:pt>
                <c:pt idx="1">
                  <c:v>39022</c:v>
                </c:pt>
                <c:pt idx="2">
                  <c:v>39052</c:v>
                </c:pt>
                <c:pt idx="3">
                  <c:v>39083</c:v>
                </c:pt>
                <c:pt idx="4">
                  <c:v>39114</c:v>
                </c:pt>
                <c:pt idx="5">
                  <c:v>39142</c:v>
                </c:pt>
                <c:pt idx="6">
                  <c:v>39173</c:v>
                </c:pt>
                <c:pt idx="7">
                  <c:v>39203</c:v>
                </c:pt>
                <c:pt idx="8">
                  <c:v>39234</c:v>
                </c:pt>
                <c:pt idx="9">
                  <c:v>39264</c:v>
                </c:pt>
                <c:pt idx="10">
                  <c:v>39295</c:v>
                </c:pt>
                <c:pt idx="11">
                  <c:v>39326</c:v>
                </c:pt>
                <c:pt idx="12">
                  <c:v>39356</c:v>
                </c:pt>
                <c:pt idx="13">
                  <c:v>39387</c:v>
                </c:pt>
                <c:pt idx="14">
                  <c:v>39448</c:v>
                </c:pt>
                <c:pt idx="15">
                  <c:v>39479</c:v>
                </c:pt>
                <c:pt idx="16">
                  <c:v>39508</c:v>
                </c:pt>
                <c:pt idx="17">
                  <c:v>39539</c:v>
                </c:pt>
                <c:pt idx="18">
                  <c:v>39569</c:v>
                </c:pt>
                <c:pt idx="19">
                  <c:v>39600</c:v>
                </c:pt>
                <c:pt idx="20">
                  <c:v>39630</c:v>
                </c:pt>
                <c:pt idx="21">
                  <c:v>39661</c:v>
                </c:pt>
                <c:pt idx="22">
                  <c:v>39692</c:v>
                </c:pt>
                <c:pt idx="23">
                  <c:v>39722</c:v>
                </c:pt>
                <c:pt idx="24">
                  <c:v>39753</c:v>
                </c:pt>
                <c:pt idx="25">
                  <c:v>39783</c:v>
                </c:pt>
                <c:pt idx="26">
                  <c:v>39814</c:v>
                </c:pt>
                <c:pt idx="27">
                  <c:v>39845</c:v>
                </c:pt>
                <c:pt idx="28">
                  <c:v>39873</c:v>
                </c:pt>
                <c:pt idx="29">
                  <c:v>39904</c:v>
                </c:pt>
                <c:pt idx="30">
                  <c:v>39934</c:v>
                </c:pt>
                <c:pt idx="31">
                  <c:v>39965</c:v>
                </c:pt>
                <c:pt idx="32">
                  <c:v>39995</c:v>
                </c:pt>
                <c:pt idx="33">
                  <c:v>40026</c:v>
                </c:pt>
                <c:pt idx="34">
                  <c:v>40057</c:v>
                </c:pt>
                <c:pt idx="35">
                  <c:v>40087</c:v>
                </c:pt>
                <c:pt idx="36">
                  <c:v>40118</c:v>
                </c:pt>
                <c:pt idx="37">
                  <c:v>40148</c:v>
                </c:pt>
                <c:pt idx="38">
                  <c:v>40179</c:v>
                </c:pt>
                <c:pt idx="39">
                  <c:v>40210</c:v>
                </c:pt>
                <c:pt idx="40">
                  <c:v>40238</c:v>
                </c:pt>
                <c:pt idx="41">
                  <c:v>40269</c:v>
                </c:pt>
                <c:pt idx="42">
                  <c:v>40299</c:v>
                </c:pt>
                <c:pt idx="43">
                  <c:v>40330</c:v>
                </c:pt>
                <c:pt idx="44">
                  <c:v>40360</c:v>
                </c:pt>
                <c:pt idx="45">
                  <c:v>40391</c:v>
                </c:pt>
                <c:pt idx="46">
                  <c:v>40422</c:v>
                </c:pt>
                <c:pt idx="47">
                  <c:v>40452</c:v>
                </c:pt>
                <c:pt idx="48">
                  <c:v>40483</c:v>
                </c:pt>
                <c:pt idx="49">
                  <c:v>40513</c:v>
                </c:pt>
                <c:pt idx="50">
                  <c:v>40544</c:v>
                </c:pt>
                <c:pt idx="51">
                  <c:v>40575</c:v>
                </c:pt>
                <c:pt idx="52">
                  <c:v>40603</c:v>
                </c:pt>
                <c:pt idx="53">
                  <c:v>40634</c:v>
                </c:pt>
                <c:pt idx="54">
                  <c:v>40664</c:v>
                </c:pt>
                <c:pt idx="55">
                  <c:v>40695</c:v>
                </c:pt>
                <c:pt idx="56">
                  <c:v>40725</c:v>
                </c:pt>
                <c:pt idx="57">
                  <c:v>40756</c:v>
                </c:pt>
                <c:pt idx="58">
                  <c:v>40787</c:v>
                </c:pt>
                <c:pt idx="59">
                  <c:v>40817</c:v>
                </c:pt>
                <c:pt idx="60">
                  <c:v>40848</c:v>
                </c:pt>
                <c:pt idx="61">
                  <c:v>40878</c:v>
                </c:pt>
                <c:pt idx="62">
                  <c:v>40909</c:v>
                </c:pt>
                <c:pt idx="63">
                  <c:v>40940</c:v>
                </c:pt>
                <c:pt idx="64">
                  <c:v>40969</c:v>
                </c:pt>
                <c:pt idx="65">
                  <c:v>41000</c:v>
                </c:pt>
                <c:pt idx="66">
                  <c:v>41030</c:v>
                </c:pt>
                <c:pt idx="67">
                  <c:v>41061</c:v>
                </c:pt>
                <c:pt idx="68">
                  <c:v>41091</c:v>
                </c:pt>
                <c:pt idx="69">
                  <c:v>41122</c:v>
                </c:pt>
                <c:pt idx="70">
                  <c:v>41153</c:v>
                </c:pt>
                <c:pt idx="71">
                  <c:v>41183</c:v>
                </c:pt>
                <c:pt idx="72">
                  <c:v>41214</c:v>
                </c:pt>
                <c:pt idx="73">
                  <c:v>41244</c:v>
                </c:pt>
                <c:pt idx="74">
                  <c:v>41275</c:v>
                </c:pt>
                <c:pt idx="75">
                  <c:v>41306</c:v>
                </c:pt>
                <c:pt idx="76">
                  <c:v>41334</c:v>
                </c:pt>
                <c:pt idx="77">
                  <c:v>41365</c:v>
                </c:pt>
                <c:pt idx="78">
                  <c:v>41395</c:v>
                </c:pt>
                <c:pt idx="79">
                  <c:v>41426</c:v>
                </c:pt>
                <c:pt idx="80">
                  <c:v>41456</c:v>
                </c:pt>
                <c:pt idx="81">
                  <c:v>41487</c:v>
                </c:pt>
                <c:pt idx="82">
                  <c:v>41518</c:v>
                </c:pt>
                <c:pt idx="83">
                  <c:v>41548</c:v>
                </c:pt>
                <c:pt idx="84">
                  <c:v>41579</c:v>
                </c:pt>
                <c:pt idx="85">
                  <c:v>41609</c:v>
                </c:pt>
                <c:pt idx="86">
                  <c:v>41640</c:v>
                </c:pt>
                <c:pt idx="87">
                  <c:v>41671</c:v>
                </c:pt>
                <c:pt idx="88">
                  <c:v>41699</c:v>
                </c:pt>
                <c:pt idx="89">
                  <c:v>41730</c:v>
                </c:pt>
                <c:pt idx="90">
                  <c:v>41760</c:v>
                </c:pt>
                <c:pt idx="91">
                  <c:v>41791</c:v>
                </c:pt>
                <c:pt idx="92">
                  <c:v>41821</c:v>
                </c:pt>
                <c:pt idx="93">
                  <c:v>41852</c:v>
                </c:pt>
                <c:pt idx="94">
                  <c:v>41883</c:v>
                </c:pt>
                <c:pt idx="95">
                  <c:v>41944</c:v>
                </c:pt>
                <c:pt idx="96">
                  <c:v>41974</c:v>
                </c:pt>
                <c:pt idx="97">
                  <c:v>42005</c:v>
                </c:pt>
                <c:pt idx="98">
                  <c:v>42036</c:v>
                </c:pt>
                <c:pt idx="99">
                  <c:v>42064</c:v>
                </c:pt>
                <c:pt idx="100">
                  <c:v>42095</c:v>
                </c:pt>
                <c:pt idx="101">
                  <c:v>42125</c:v>
                </c:pt>
                <c:pt idx="102">
                  <c:v>42156</c:v>
                </c:pt>
                <c:pt idx="103">
                  <c:v>42186</c:v>
                </c:pt>
                <c:pt idx="104">
                  <c:v>42217</c:v>
                </c:pt>
                <c:pt idx="105">
                  <c:v>42248</c:v>
                </c:pt>
                <c:pt idx="106">
                  <c:v>42278</c:v>
                </c:pt>
                <c:pt idx="107">
                  <c:v>42309</c:v>
                </c:pt>
                <c:pt idx="108">
                  <c:v>42339</c:v>
                </c:pt>
                <c:pt idx="109">
                  <c:v>42370</c:v>
                </c:pt>
                <c:pt idx="110">
                  <c:v>42401</c:v>
                </c:pt>
                <c:pt idx="111">
                  <c:v>42430</c:v>
                </c:pt>
                <c:pt idx="112">
                  <c:v>42461</c:v>
                </c:pt>
                <c:pt idx="113">
                  <c:v>42491</c:v>
                </c:pt>
                <c:pt idx="114">
                  <c:v>42522</c:v>
                </c:pt>
                <c:pt idx="115">
                  <c:v>42552</c:v>
                </c:pt>
                <c:pt idx="116">
                  <c:v>42583</c:v>
                </c:pt>
                <c:pt idx="117">
                  <c:v>42614</c:v>
                </c:pt>
                <c:pt idx="118">
                  <c:v>42644</c:v>
                </c:pt>
                <c:pt idx="119">
                  <c:v>42675</c:v>
                </c:pt>
                <c:pt idx="120">
                  <c:v>42705</c:v>
                </c:pt>
                <c:pt idx="121">
                  <c:v>42736</c:v>
                </c:pt>
                <c:pt idx="122">
                  <c:v>42767</c:v>
                </c:pt>
                <c:pt idx="123">
                  <c:v>42795</c:v>
                </c:pt>
                <c:pt idx="124">
                  <c:v>42826</c:v>
                </c:pt>
                <c:pt idx="125">
                  <c:v>42856</c:v>
                </c:pt>
                <c:pt idx="126">
                  <c:v>42887</c:v>
                </c:pt>
                <c:pt idx="127">
                  <c:v>42917</c:v>
                </c:pt>
                <c:pt idx="128">
                  <c:v>42948</c:v>
                </c:pt>
                <c:pt idx="129">
                  <c:v>42979</c:v>
                </c:pt>
                <c:pt idx="130">
                  <c:v>43009</c:v>
                </c:pt>
                <c:pt idx="131">
                  <c:v>43040</c:v>
                </c:pt>
                <c:pt idx="132">
                  <c:v>43070</c:v>
                </c:pt>
                <c:pt idx="133">
                  <c:v>43101</c:v>
                </c:pt>
                <c:pt idx="134">
                  <c:v>43132</c:v>
                </c:pt>
                <c:pt idx="135">
                  <c:v>43160</c:v>
                </c:pt>
                <c:pt idx="136">
                  <c:v>43191</c:v>
                </c:pt>
                <c:pt idx="137">
                  <c:v>43221</c:v>
                </c:pt>
                <c:pt idx="138">
                  <c:v>43252</c:v>
                </c:pt>
                <c:pt idx="139">
                  <c:v>43282</c:v>
                </c:pt>
                <c:pt idx="140">
                  <c:v>43313</c:v>
                </c:pt>
                <c:pt idx="141">
                  <c:v>43344</c:v>
                </c:pt>
                <c:pt idx="142">
                  <c:v>43374</c:v>
                </c:pt>
                <c:pt idx="143">
                  <c:v>43405</c:v>
                </c:pt>
                <c:pt idx="144">
                  <c:v>43435</c:v>
                </c:pt>
                <c:pt idx="145">
                  <c:v>43466</c:v>
                </c:pt>
                <c:pt idx="146">
                  <c:v>43497</c:v>
                </c:pt>
                <c:pt idx="147">
                  <c:v>43525</c:v>
                </c:pt>
                <c:pt idx="148">
                  <c:v>43556</c:v>
                </c:pt>
                <c:pt idx="149">
                  <c:v>43586</c:v>
                </c:pt>
                <c:pt idx="150">
                  <c:v>43617</c:v>
                </c:pt>
                <c:pt idx="151">
                  <c:v>43647</c:v>
                </c:pt>
                <c:pt idx="152">
                  <c:v>43678</c:v>
                </c:pt>
                <c:pt idx="153">
                  <c:v>43709</c:v>
                </c:pt>
                <c:pt idx="154">
                  <c:v>43739</c:v>
                </c:pt>
                <c:pt idx="155">
                  <c:v>43770</c:v>
                </c:pt>
                <c:pt idx="156">
                  <c:v>43800</c:v>
                </c:pt>
                <c:pt idx="157">
                  <c:v>43831</c:v>
                </c:pt>
                <c:pt idx="158">
                  <c:v>43862</c:v>
                </c:pt>
                <c:pt idx="159">
                  <c:v>43891</c:v>
                </c:pt>
                <c:pt idx="160">
                  <c:v>43922</c:v>
                </c:pt>
                <c:pt idx="161">
                  <c:v>43952</c:v>
                </c:pt>
                <c:pt idx="162">
                  <c:v>43983</c:v>
                </c:pt>
                <c:pt idx="163">
                  <c:v>44013</c:v>
                </c:pt>
                <c:pt idx="164">
                  <c:v>44044</c:v>
                </c:pt>
                <c:pt idx="165">
                  <c:v>44075</c:v>
                </c:pt>
                <c:pt idx="166">
                  <c:v>44105</c:v>
                </c:pt>
                <c:pt idx="167">
                  <c:v>44136</c:v>
                </c:pt>
                <c:pt idx="168">
                  <c:v>44166</c:v>
                </c:pt>
                <c:pt idx="169">
                  <c:v>44197</c:v>
                </c:pt>
                <c:pt idx="170">
                  <c:v>44228</c:v>
                </c:pt>
                <c:pt idx="171">
                  <c:v>44256</c:v>
                </c:pt>
                <c:pt idx="172">
                  <c:v>44287</c:v>
                </c:pt>
                <c:pt idx="173">
                  <c:v>44317</c:v>
                </c:pt>
                <c:pt idx="174">
                  <c:v>44348</c:v>
                </c:pt>
                <c:pt idx="175">
                  <c:v>44378</c:v>
                </c:pt>
                <c:pt idx="176">
                  <c:v>44409</c:v>
                </c:pt>
                <c:pt idx="177">
                  <c:v>44440</c:v>
                </c:pt>
                <c:pt idx="178">
                  <c:v>44470</c:v>
                </c:pt>
                <c:pt idx="179">
                  <c:v>44501</c:v>
                </c:pt>
                <c:pt idx="180">
                  <c:v>44531</c:v>
                </c:pt>
                <c:pt idx="181">
                  <c:v>44562</c:v>
                </c:pt>
                <c:pt idx="182">
                  <c:v>44593</c:v>
                </c:pt>
                <c:pt idx="183">
                  <c:v>44621</c:v>
                </c:pt>
                <c:pt idx="184">
                  <c:v>44652</c:v>
                </c:pt>
                <c:pt idx="185">
                  <c:v>44682</c:v>
                </c:pt>
                <c:pt idx="186">
                  <c:v>44713</c:v>
                </c:pt>
                <c:pt idx="187">
                  <c:v>44743</c:v>
                </c:pt>
                <c:pt idx="188">
                  <c:v>44774</c:v>
                </c:pt>
                <c:pt idx="189">
                  <c:v>44805</c:v>
                </c:pt>
                <c:pt idx="190">
                  <c:v>44835</c:v>
                </c:pt>
                <c:pt idx="191">
                  <c:v>44866</c:v>
                </c:pt>
                <c:pt idx="192">
                  <c:v>44896</c:v>
                </c:pt>
                <c:pt idx="193">
                  <c:v>44927</c:v>
                </c:pt>
                <c:pt idx="194">
                  <c:v>44958</c:v>
                </c:pt>
                <c:pt idx="195">
                  <c:v>44986</c:v>
                </c:pt>
                <c:pt idx="196">
                  <c:v>45017</c:v>
                </c:pt>
              </c:numCache>
            </c:numRef>
          </c:cat>
          <c:val>
            <c:numRef>
              <c:f>Wollongong!$B$10:$GP$10</c:f>
              <c:numCache>
                <c:formatCode>General</c:formatCode>
                <c:ptCount val="197"/>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3</c:v>
                </c:pt>
                <c:pt idx="41">
                  <c:v>3</c:v>
                </c:pt>
                <c:pt idx="42">
                  <c:v>3</c:v>
                </c:pt>
                <c:pt idx="43">
                  <c:v>3</c:v>
                </c:pt>
                <c:pt idx="44">
                  <c:v>3</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3</c:v>
                </c:pt>
                <c:pt idx="76">
                  <c:v>3</c:v>
                </c:pt>
                <c:pt idx="77">
                  <c:v>3</c:v>
                </c:pt>
                <c:pt idx="78">
                  <c:v>3</c:v>
                </c:pt>
                <c:pt idx="79">
                  <c:v>3</c:v>
                </c:pt>
                <c:pt idx="80">
                  <c:v>3</c:v>
                </c:pt>
                <c:pt idx="81">
                  <c:v>3</c:v>
                </c:pt>
                <c:pt idx="82">
                  <c:v>3</c:v>
                </c:pt>
                <c:pt idx="83">
                  <c:v>3</c:v>
                </c:pt>
                <c:pt idx="84">
                  <c:v>3</c:v>
                </c:pt>
                <c:pt idx="85">
                  <c:v>3</c:v>
                </c:pt>
                <c:pt idx="86">
                  <c:v>3</c:v>
                </c:pt>
                <c:pt idx="87">
                  <c:v>3</c:v>
                </c:pt>
                <c:pt idx="88">
                  <c:v>3</c:v>
                </c:pt>
                <c:pt idx="89">
                  <c:v>3</c:v>
                </c:pt>
                <c:pt idx="90">
                  <c:v>3</c:v>
                </c:pt>
                <c:pt idx="91">
                  <c:v>3</c:v>
                </c:pt>
                <c:pt idx="92">
                  <c:v>3</c:v>
                </c:pt>
                <c:pt idx="93">
                  <c:v>3</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3</c:v>
                </c:pt>
                <c:pt idx="108">
                  <c:v>3</c:v>
                </c:pt>
                <c:pt idx="109">
                  <c:v>3</c:v>
                </c:pt>
                <c:pt idx="110">
                  <c:v>3</c:v>
                </c:pt>
                <c:pt idx="111">
                  <c:v>3</c:v>
                </c:pt>
                <c:pt idx="112">
                  <c:v>3</c:v>
                </c:pt>
                <c:pt idx="113">
                  <c:v>3</c:v>
                </c:pt>
                <c:pt idx="114">
                  <c:v>3</c:v>
                </c:pt>
                <c:pt idx="115">
                  <c:v>3</c:v>
                </c:pt>
                <c:pt idx="116">
                  <c:v>3</c:v>
                </c:pt>
                <c:pt idx="117">
                  <c:v>3</c:v>
                </c:pt>
                <c:pt idx="118">
                  <c:v>3</c:v>
                </c:pt>
                <c:pt idx="119">
                  <c:v>3</c:v>
                </c:pt>
                <c:pt idx="120">
                  <c:v>3</c:v>
                </c:pt>
                <c:pt idx="121">
                  <c:v>3</c:v>
                </c:pt>
                <c:pt idx="122">
                  <c:v>3</c:v>
                </c:pt>
                <c:pt idx="123">
                  <c:v>3</c:v>
                </c:pt>
                <c:pt idx="124">
                  <c:v>3</c:v>
                </c:pt>
                <c:pt idx="125">
                  <c:v>3</c:v>
                </c:pt>
                <c:pt idx="126">
                  <c:v>3</c:v>
                </c:pt>
                <c:pt idx="127">
                  <c:v>3</c:v>
                </c:pt>
                <c:pt idx="128">
                  <c:v>3</c:v>
                </c:pt>
                <c:pt idx="129">
                  <c:v>3</c:v>
                </c:pt>
                <c:pt idx="130">
                  <c:v>3</c:v>
                </c:pt>
                <c:pt idx="131">
                  <c:v>3</c:v>
                </c:pt>
                <c:pt idx="132">
                  <c:v>3</c:v>
                </c:pt>
                <c:pt idx="133">
                  <c:v>3</c:v>
                </c:pt>
                <c:pt idx="134">
                  <c:v>3</c:v>
                </c:pt>
                <c:pt idx="135">
                  <c:v>3</c:v>
                </c:pt>
                <c:pt idx="136">
                  <c:v>3</c:v>
                </c:pt>
                <c:pt idx="137">
                  <c:v>3</c:v>
                </c:pt>
                <c:pt idx="138">
                  <c:v>3</c:v>
                </c:pt>
                <c:pt idx="139" formatCode="0.0">
                  <c:v>3</c:v>
                </c:pt>
                <c:pt idx="140">
                  <c:v>3</c:v>
                </c:pt>
                <c:pt idx="141">
                  <c:v>3</c:v>
                </c:pt>
                <c:pt idx="142">
                  <c:v>3</c:v>
                </c:pt>
                <c:pt idx="143">
                  <c:v>3</c:v>
                </c:pt>
                <c:pt idx="144">
                  <c:v>3</c:v>
                </c:pt>
                <c:pt idx="145">
                  <c:v>3</c:v>
                </c:pt>
                <c:pt idx="146">
                  <c:v>3</c:v>
                </c:pt>
                <c:pt idx="147">
                  <c:v>3</c:v>
                </c:pt>
                <c:pt idx="148">
                  <c:v>3</c:v>
                </c:pt>
                <c:pt idx="149">
                  <c:v>3</c:v>
                </c:pt>
                <c:pt idx="150">
                  <c:v>3</c:v>
                </c:pt>
                <c:pt idx="151">
                  <c:v>3</c:v>
                </c:pt>
                <c:pt idx="152">
                  <c:v>3</c:v>
                </c:pt>
                <c:pt idx="153">
                  <c:v>3</c:v>
                </c:pt>
                <c:pt idx="154" formatCode="0.00">
                  <c:v>3</c:v>
                </c:pt>
                <c:pt idx="155" formatCode="0.00">
                  <c:v>3</c:v>
                </c:pt>
                <c:pt idx="156" formatCode="0.00">
                  <c:v>3</c:v>
                </c:pt>
                <c:pt idx="157" formatCode="0.00">
                  <c:v>3</c:v>
                </c:pt>
                <c:pt idx="158" formatCode="0.00">
                  <c:v>3</c:v>
                </c:pt>
                <c:pt idx="159" formatCode="0.00">
                  <c:v>3</c:v>
                </c:pt>
                <c:pt idx="160" formatCode="0.00">
                  <c:v>3</c:v>
                </c:pt>
                <c:pt idx="161" formatCode="0.00">
                  <c:v>3</c:v>
                </c:pt>
                <c:pt idx="162" formatCode="0.00">
                  <c:v>3</c:v>
                </c:pt>
                <c:pt idx="163" formatCode="0.00">
                  <c:v>3</c:v>
                </c:pt>
                <c:pt idx="164" formatCode="0.00">
                  <c:v>3</c:v>
                </c:pt>
                <c:pt idx="165" formatCode="0.00">
                  <c:v>3</c:v>
                </c:pt>
                <c:pt idx="166" formatCode="0.00">
                  <c:v>3</c:v>
                </c:pt>
                <c:pt idx="167" formatCode="0.00">
                  <c:v>3</c:v>
                </c:pt>
                <c:pt idx="168" formatCode="0.00">
                  <c:v>3</c:v>
                </c:pt>
                <c:pt idx="169" formatCode="0.00">
                  <c:v>3</c:v>
                </c:pt>
                <c:pt idx="170" formatCode="0.00">
                  <c:v>3</c:v>
                </c:pt>
                <c:pt idx="171" formatCode="0.00">
                  <c:v>3</c:v>
                </c:pt>
                <c:pt idx="172" formatCode="0.00">
                  <c:v>3</c:v>
                </c:pt>
                <c:pt idx="173" formatCode="0.00">
                  <c:v>3</c:v>
                </c:pt>
                <c:pt idx="174" formatCode="0.00">
                  <c:v>3</c:v>
                </c:pt>
                <c:pt idx="175" formatCode="0.00">
                  <c:v>3</c:v>
                </c:pt>
                <c:pt idx="176" formatCode="0.00">
                  <c:v>3</c:v>
                </c:pt>
                <c:pt idx="177" formatCode="0.00">
                  <c:v>3</c:v>
                </c:pt>
                <c:pt idx="178" formatCode="0.00">
                  <c:v>3</c:v>
                </c:pt>
                <c:pt idx="179" formatCode="0.00">
                  <c:v>3</c:v>
                </c:pt>
                <c:pt idx="180" formatCode="0.00">
                  <c:v>3</c:v>
                </c:pt>
                <c:pt idx="181" formatCode="0.00">
                  <c:v>3</c:v>
                </c:pt>
                <c:pt idx="182" formatCode="0.00">
                  <c:v>3</c:v>
                </c:pt>
                <c:pt idx="183" formatCode="0.00">
                  <c:v>3</c:v>
                </c:pt>
                <c:pt idx="184" formatCode="0.00">
                  <c:v>3</c:v>
                </c:pt>
                <c:pt idx="185" formatCode="0.00">
                  <c:v>3</c:v>
                </c:pt>
                <c:pt idx="186" formatCode="0.00">
                  <c:v>3</c:v>
                </c:pt>
                <c:pt idx="187" formatCode="0.00">
                  <c:v>3</c:v>
                </c:pt>
                <c:pt idx="188" formatCode="0.00">
                  <c:v>3</c:v>
                </c:pt>
                <c:pt idx="189" formatCode="0.00">
                  <c:v>3</c:v>
                </c:pt>
                <c:pt idx="190" formatCode="0.00">
                  <c:v>3</c:v>
                </c:pt>
                <c:pt idx="191" formatCode="0.00">
                  <c:v>3</c:v>
                </c:pt>
                <c:pt idx="192" formatCode="0.00">
                  <c:v>3</c:v>
                </c:pt>
                <c:pt idx="193" formatCode="0.00">
                  <c:v>3</c:v>
                </c:pt>
                <c:pt idx="194" formatCode="0.00">
                  <c:v>3</c:v>
                </c:pt>
                <c:pt idx="195" formatCode="0.00">
                  <c:v>3</c:v>
                </c:pt>
                <c:pt idx="196" formatCode="0.00">
                  <c:v>3</c:v>
                </c:pt>
              </c:numCache>
            </c:numRef>
          </c:val>
          <c:smooth val="0"/>
          <c:extLst>
            <c:ext xmlns:c16="http://schemas.microsoft.com/office/drawing/2014/chart" uri="{C3380CC4-5D6E-409C-BE32-E72D297353CC}">
              <c16:uniqueId val="{00000002-9EB9-4DBC-A988-DAFB02835898}"/>
            </c:ext>
          </c:extLst>
        </c:ser>
        <c:dLbls>
          <c:showLegendKey val="0"/>
          <c:showVal val="0"/>
          <c:showCatName val="0"/>
          <c:showSerName val="0"/>
          <c:showPercent val="0"/>
          <c:showBubbleSize val="0"/>
        </c:dLbls>
        <c:smooth val="0"/>
        <c:axId val="604497672"/>
        <c:axId val="604507184"/>
      </c:lineChart>
      <c:dateAx>
        <c:axId val="6044976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507184"/>
        <c:crosses val="autoZero"/>
        <c:auto val="1"/>
        <c:lblOffset val="100"/>
        <c:baseTimeUnit val="months"/>
      </c:dateAx>
      <c:valAx>
        <c:axId val="60450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497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Vacancy</a:t>
            </a:r>
            <a:r>
              <a:rPr lang="en-AU" b="1" baseline="0"/>
              <a:t> rate - South Coast and South Eastern NSW - 2006 to 2023</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'Regional NSW'!$A$26</c:f>
              <c:strCache>
                <c:ptCount val="1"/>
                <c:pt idx="0">
                  <c:v>South Eastern</c:v>
                </c:pt>
              </c:strCache>
            </c:strRef>
          </c:tx>
          <c:spPr>
            <a:ln w="28575" cap="rnd">
              <a:solidFill>
                <a:srgbClr val="00FF00"/>
              </a:solidFill>
              <a:round/>
            </a:ln>
            <a:effectLst/>
          </c:spPr>
          <c:marker>
            <c:symbol val="none"/>
          </c:marker>
          <c:cat>
            <c:numRef>
              <c:f>'Regional NSW'!$B$25:$GQ$25</c:f>
              <c:numCache>
                <c:formatCode>mmm\-yy</c:formatCode>
                <c:ptCount val="198"/>
                <c:pt idx="0">
                  <c:v>38991</c:v>
                </c:pt>
                <c:pt idx="1">
                  <c:v>39022</c:v>
                </c:pt>
                <c:pt idx="2">
                  <c:v>39052</c:v>
                </c:pt>
                <c:pt idx="3">
                  <c:v>39083</c:v>
                </c:pt>
                <c:pt idx="4">
                  <c:v>39114</c:v>
                </c:pt>
                <c:pt idx="5">
                  <c:v>39142</c:v>
                </c:pt>
                <c:pt idx="6">
                  <c:v>39173</c:v>
                </c:pt>
                <c:pt idx="7">
                  <c:v>39203</c:v>
                </c:pt>
                <c:pt idx="8">
                  <c:v>39234</c:v>
                </c:pt>
                <c:pt idx="9">
                  <c:v>39264</c:v>
                </c:pt>
                <c:pt idx="10">
                  <c:v>39295</c:v>
                </c:pt>
                <c:pt idx="11">
                  <c:v>39326</c:v>
                </c:pt>
                <c:pt idx="12">
                  <c:v>39356</c:v>
                </c:pt>
                <c:pt idx="13">
                  <c:v>39387</c:v>
                </c:pt>
                <c:pt idx="14">
                  <c:v>39448</c:v>
                </c:pt>
                <c:pt idx="15">
                  <c:v>39479</c:v>
                </c:pt>
                <c:pt idx="16">
                  <c:v>39508</c:v>
                </c:pt>
                <c:pt idx="17">
                  <c:v>39539</c:v>
                </c:pt>
                <c:pt idx="18">
                  <c:v>39569</c:v>
                </c:pt>
                <c:pt idx="19">
                  <c:v>39600</c:v>
                </c:pt>
                <c:pt idx="20">
                  <c:v>39630</c:v>
                </c:pt>
                <c:pt idx="21">
                  <c:v>39661</c:v>
                </c:pt>
                <c:pt idx="22">
                  <c:v>39692</c:v>
                </c:pt>
                <c:pt idx="23">
                  <c:v>39722</c:v>
                </c:pt>
                <c:pt idx="24">
                  <c:v>39753</c:v>
                </c:pt>
                <c:pt idx="25">
                  <c:v>39783</c:v>
                </c:pt>
                <c:pt idx="26">
                  <c:v>39814</c:v>
                </c:pt>
                <c:pt idx="27">
                  <c:v>39845</c:v>
                </c:pt>
                <c:pt idx="28">
                  <c:v>39873</c:v>
                </c:pt>
                <c:pt idx="29">
                  <c:v>39904</c:v>
                </c:pt>
                <c:pt idx="30">
                  <c:v>39934</c:v>
                </c:pt>
                <c:pt idx="31">
                  <c:v>39965</c:v>
                </c:pt>
                <c:pt idx="32">
                  <c:v>39995</c:v>
                </c:pt>
                <c:pt idx="33">
                  <c:v>40026</c:v>
                </c:pt>
                <c:pt idx="34">
                  <c:v>40057</c:v>
                </c:pt>
                <c:pt idx="35">
                  <c:v>40087</c:v>
                </c:pt>
                <c:pt idx="36">
                  <c:v>40118</c:v>
                </c:pt>
                <c:pt idx="37">
                  <c:v>40148</c:v>
                </c:pt>
                <c:pt idx="38">
                  <c:v>40179</c:v>
                </c:pt>
                <c:pt idx="39">
                  <c:v>40210</c:v>
                </c:pt>
                <c:pt idx="40">
                  <c:v>40238</c:v>
                </c:pt>
                <c:pt idx="41">
                  <c:v>40269</c:v>
                </c:pt>
                <c:pt idx="42">
                  <c:v>40299</c:v>
                </c:pt>
                <c:pt idx="43">
                  <c:v>40330</c:v>
                </c:pt>
                <c:pt idx="44">
                  <c:v>40360</c:v>
                </c:pt>
                <c:pt idx="45">
                  <c:v>40391</c:v>
                </c:pt>
                <c:pt idx="46">
                  <c:v>40422</c:v>
                </c:pt>
                <c:pt idx="47">
                  <c:v>40452</c:v>
                </c:pt>
                <c:pt idx="48">
                  <c:v>40483</c:v>
                </c:pt>
                <c:pt idx="49">
                  <c:v>40513</c:v>
                </c:pt>
                <c:pt idx="50">
                  <c:v>40544</c:v>
                </c:pt>
                <c:pt idx="51">
                  <c:v>40575</c:v>
                </c:pt>
                <c:pt idx="52">
                  <c:v>40603</c:v>
                </c:pt>
                <c:pt idx="53">
                  <c:v>40634</c:v>
                </c:pt>
                <c:pt idx="54">
                  <c:v>40664</c:v>
                </c:pt>
                <c:pt idx="55">
                  <c:v>40695</c:v>
                </c:pt>
                <c:pt idx="56">
                  <c:v>40725</c:v>
                </c:pt>
                <c:pt idx="57">
                  <c:v>40756</c:v>
                </c:pt>
                <c:pt idx="58">
                  <c:v>40787</c:v>
                </c:pt>
                <c:pt idx="59">
                  <c:v>40817</c:v>
                </c:pt>
                <c:pt idx="60">
                  <c:v>40848</c:v>
                </c:pt>
                <c:pt idx="61">
                  <c:v>40878</c:v>
                </c:pt>
                <c:pt idx="62">
                  <c:v>40909</c:v>
                </c:pt>
                <c:pt idx="63">
                  <c:v>40940</c:v>
                </c:pt>
                <c:pt idx="64">
                  <c:v>40969</c:v>
                </c:pt>
                <c:pt idx="65">
                  <c:v>41000</c:v>
                </c:pt>
                <c:pt idx="66">
                  <c:v>41030</c:v>
                </c:pt>
                <c:pt idx="67">
                  <c:v>41061</c:v>
                </c:pt>
                <c:pt idx="68">
                  <c:v>41091</c:v>
                </c:pt>
                <c:pt idx="69">
                  <c:v>41122</c:v>
                </c:pt>
                <c:pt idx="70">
                  <c:v>41153</c:v>
                </c:pt>
                <c:pt idx="71">
                  <c:v>41183</c:v>
                </c:pt>
                <c:pt idx="72">
                  <c:v>41214</c:v>
                </c:pt>
                <c:pt idx="73">
                  <c:v>41244</c:v>
                </c:pt>
                <c:pt idx="74">
                  <c:v>41275</c:v>
                </c:pt>
                <c:pt idx="75">
                  <c:v>41306</c:v>
                </c:pt>
                <c:pt idx="76">
                  <c:v>41334</c:v>
                </c:pt>
                <c:pt idx="77">
                  <c:v>41365</c:v>
                </c:pt>
                <c:pt idx="78">
                  <c:v>41395</c:v>
                </c:pt>
                <c:pt idx="79">
                  <c:v>41426</c:v>
                </c:pt>
                <c:pt idx="80">
                  <c:v>41456</c:v>
                </c:pt>
                <c:pt idx="81">
                  <c:v>41487</c:v>
                </c:pt>
                <c:pt idx="82">
                  <c:v>41518</c:v>
                </c:pt>
                <c:pt idx="83">
                  <c:v>41548</c:v>
                </c:pt>
                <c:pt idx="84">
                  <c:v>41579</c:v>
                </c:pt>
                <c:pt idx="85">
                  <c:v>41609</c:v>
                </c:pt>
                <c:pt idx="86">
                  <c:v>41640</c:v>
                </c:pt>
                <c:pt idx="87">
                  <c:v>41671</c:v>
                </c:pt>
                <c:pt idx="88">
                  <c:v>41699</c:v>
                </c:pt>
                <c:pt idx="89">
                  <c:v>41730</c:v>
                </c:pt>
                <c:pt idx="90">
                  <c:v>41760</c:v>
                </c:pt>
                <c:pt idx="91">
                  <c:v>41791</c:v>
                </c:pt>
                <c:pt idx="92">
                  <c:v>41821</c:v>
                </c:pt>
                <c:pt idx="93">
                  <c:v>41852</c:v>
                </c:pt>
                <c:pt idx="94">
                  <c:v>41883</c:v>
                </c:pt>
                <c:pt idx="95">
                  <c:v>41913</c:v>
                </c:pt>
                <c:pt idx="96">
                  <c:v>41944</c:v>
                </c:pt>
                <c:pt idx="97">
                  <c:v>41974</c:v>
                </c:pt>
                <c:pt idx="98">
                  <c:v>42005</c:v>
                </c:pt>
                <c:pt idx="99">
                  <c:v>42036</c:v>
                </c:pt>
                <c:pt idx="100">
                  <c:v>42064</c:v>
                </c:pt>
                <c:pt idx="101">
                  <c:v>42095</c:v>
                </c:pt>
                <c:pt idx="102">
                  <c:v>42125</c:v>
                </c:pt>
                <c:pt idx="103">
                  <c:v>42156</c:v>
                </c:pt>
                <c:pt idx="104">
                  <c:v>42186</c:v>
                </c:pt>
                <c:pt idx="105">
                  <c:v>42217</c:v>
                </c:pt>
                <c:pt idx="106">
                  <c:v>42248</c:v>
                </c:pt>
                <c:pt idx="107">
                  <c:v>42278</c:v>
                </c:pt>
                <c:pt idx="108">
                  <c:v>42309</c:v>
                </c:pt>
                <c:pt idx="109">
                  <c:v>42339</c:v>
                </c:pt>
                <c:pt idx="110">
                  <c:v>42370</c:v>
                </c:pt>
                <c:pt idx="111">
                  <c:v>42401</c:v>
                </c:pt>
                <c:pt idx="112">
                  <c:v>42430</c:v>
                </c:pt>
                <c:pt idx="113">
                  <c:v>42461</c:v>
                </c:pt>
                <c:pt idx="114">
                  <c:v>42491</c:v>
                </c:pt>
                <c:pt idx="115">
                  <c:v>42522</c:v>
                </c:pt>
                <c:pt idx="116">
                  <c:v>42552</c:v>
                </c:pt>
                <c:pt idx="117">
                  <c:v>42583</c:v>
                </c:pt>
                <c:pt idx="118">
                  <c:v>42614</c:v>
                </c:pt>
                <c:pt idx="119">
                  <c:v>42644</c:v>
                </c:pt>
                <c:pt idx="120">
                  <c:v>42675</c:v>
                </c:pt>
                <c:pt idx="121">
                  <c:v>42705</c:v>
                </c:pt>
                <c:pt idx="122">
                  <c:v>42736</c:v>
                </c:pt>
                <c:pt idx="123">
                  <c:v>42767</c:v>
                </c:pt>
                <c:pt idx="124">
                  <c:v>42795</c:v>
                </c:pt>
                <c:pt idx="125">
                  <c:v>42826</c:v>
                </c:pt>
                <c:pt idx="126">
                  <c:v>42856</c:v>
                </c:pt>
                <c:pt idx="127">
                  <c:v>42887</c:v>
                </c:pt>
                <c:pt idx="128">
                  <c:v>42917</c:v>
                </c:pt>
                <c:pt idx="129">
                  <c:v>42948</c:v>
                </c:pt>
                <c:pt idx="130">
                  <c:v>42979</c:v>
                </c:pt>
                <c:pt idx="131">
                  <c:v>43009</c:v>
                </c:pt>
                <c:pt idx="132">
                  <c:v>43040</c:v>
                </c:pt>
                <c:pt idx="133">
                  <c:v>43070</c:v>
                </c:pt>
                <c:pt idx="134">
                  <c:v>43101</c:v>
                </c:pt>
                <c:pt idx="135">
                  <c:v>43132</c:v>
                </c:pt>
                <c:pt idx="136">
                  <c:v>43160</c:v>
                </c:pt>
                <c:pt idx="137">
                  <c:v>43191</c:v>
                </c:pt>
                <c:pt idx="138">
                  <c:v>43221</c:v>
                </c:pt>
                <c:pt idx="139">
                  <c:v>43252</c:v>
                </c:pt>
                <c:pt idx="140">
                  <c:v>43282</c:v>
                </c:pt>
                <c:pt idx="141">
                  <c:v>43313</c:v>
                </c:pt>
                <c:pt idx="142">
                  <c:v>43344</c:v>
                </c:pt>
                <c:pt idx="143">
                  <c:v>43374</c:v>
                </c:pt>
                <c:pt idx="144">
                  <c:v>43405</c:v>
                </c:pt>
                <c:pt idx="145">
                  <c:v>43435</c:v>
                </c:pt>
                <c:pt idx="146">
                  <c:v>43466</c:v>
                </c:pt>
                <c:pt idx="147">
                  <c:v>43497</c:v>
                </c:pt>
                <c:pt idx="148">
                  <c:v>43525</c:v>
                </c:pt>
                <c:pt idx="149">
                  <c:v>43556</c:v>
                </c:pt>
                <c:pt idx="150">
                  <c:v>43586</c:v>
                </c:pt>
                <c:pt idx="151">
                  <c:v>43617</c:v>
                </c:pt>
                <c:pt idx="152">
                  <c:v>43647</c:v>
                </c:pt>
                <c:pt idx="153">
                  <c:v>43678</c:v>
                </c:pt>
                <c:pt idx="154">
                  <c:v>43709</c:v>
                </c:pt>
                <c:pt idx="155">
                  <c:v>43739</c:v>
                </c:pt>
                <c:pt idx="156">
                  <c:v>43770</c:v>
                </c:pt>
                <c:pt idx="157">
                  <c:v>43800</c:v>
                </c:pt>
                <c:pt idx="158">
                  <c:v>43831</c:v>
                </c:pt>
                <c:pt idx="159">
                  <c:v>43862</c:v>
                </c:pt>
                <c:pt idx="160">
                  <c:v>43891</c:v>
                </c:pt>
                <c:pt idx="161">
                  <c:v>43922</c:v>
                </c:pt>
                <c:pt idx="162">
                  <c:v>43952</c:v>
                </c:pt>
                <c:pt idx="163">
                  <c:v>43983</c:v>
                </c:pt>
                <c:pt idx="164">
                  <c:v>44013</c:v>
                </c:pt>
                <c:pt idx="165">
                  <c:v>44044</c:v>
                </c:pt>
                <c:pt idx="166">
                  <c:v>44075</c:v>
                </c:pt>
                <c:pt idx="167">
                  <c:v>44105</c:v>
                </c:pt>
                <c:pt idx="168">
                  <c:v>44136</c:v>
                </c:pt>
                <c:pt idx="169">
                  <c:v>44166</c:v>
                </c:pt>
                <c:pt idx="170">
                  <c:v>44197</c:v>
                </c:pt>
                <c:pt idx="171">
                  <c:v>44228</c:v>
                </c:pt>
                <c:pt idx="172">
                  <c:v>44256</c:v>
                </c:pt>
                <c:pt idx="173">
                  <c:v>44287</c:v>
                </c:pt>
                <c:pt idx="174">
                  <c:v>44317</c:v>
                </c:pt>
                <c:pt idx="175">
                  <c:v>44348</c:v>
                </c:pt>
                <c:pt idx="176">
                  <c:v>44378</c:v>
                </c:pt>
                <c:pt idx="177">
                  <c:v>44409</c:v>
                </c:pt>
                <c:pt idx="178">
                  <c:v>44440</c:v>
                </c:pt>
                <c:pt idx="179">
                  <c:v>44470</c:v>
                </c:pt>
                <c:pt idx="180">
                  <c:v>44501</c:v>
                </c:pt>
                <c:pt idx="181">
                  <c:v>44531</c:v>
                </c:pt>
                <c:pt idx="182">
                  <c:v>44562</c:v>
                </c:pt>
                <c:pt idx="183">
                  <c:v>44593</c:v>
                </c:pt>
                <c:pt idx="184">
                  <c:v>44621</c:v>
                </c:pt>
                <c:pt idx="185">
                  <c:v>44652</c:v>
                </c:pt>
                <c:pt idx="186">
                  <c:v>44682</c:v>
                </c:pt>
                <c:pt idx="187">
                  <c:v>44713</c:v>
                </c:pt>
                <c:pt idx="188">
                  <c:v>44743</c:v>
                </c:pt>
                <c:pt idx="189">
                  <c:v>44774</c:v>
                </c:pt>
                <c:pt idx="190">
                  <c:v>44805</c:v>
                </c:pt>
                <c:pt idx="191">
                  <c:v>44835</c:v>
                </c:pt>
                <c:pt idx="192">
                  <c:v>44866</c:v>
                </c:pt>
                <c:pt idx="193">
                  <c:v>44896</c:v>
                </c:pt>
                <c:pt idx="194">
                  <c:v>44927</c:v>
                </c:pt>
                <c:pt idx="195">
                  <c:v>44958</c:v>
                </c:pt>
                <c:pt idx="196">
                  <c:v>44986</c:v>
                </c:pt>
                <c:pt idx="197">
                  <c:v>45017</c:v>
                </c:pt>
              </c:numCache>
            </c:numRef>
          </c:cat>
          <c:val>
            <c:numRef>
              <c:f>'Regional NSW'!$B$26:$GQ$26</c:f>
              <c:numCache>
                <c:formatCode>General</c:formatCode>
                <c:ptCount val="198"/>
                <c:pt idx="0">
                  <c:v>1.2</c:v>
                </c:pt>
                <c:pt idx="1">
                  <c:v>1.2</c:v>
                </c:pt>
                <c:pt idx="2">
                  <c:v>1.1000000000000001</c:v>
                </c:pt>
                <c:pt idx="3">
                  <c:v>1.6</c:v>
                </c:pt>
                <c:pt idx="4">
                  <c:v>1.8</c:v>
                </c:pt>
                <c:pt idx="5">
                  <c:v>1.4</c:v>
                </c:pt>
                <c:pt idx="6">
                  <c:v>1.3</c:v>
                </c:pt>
                <c:pt idx="7">
                  <c:v>1.2</c:v>
                </c:pt>
                <c:pt idx="8">
                  <c:v>1.3</c:v>
                </c:pt>
                <c:pt idx="9" formatCode="0.0">
                  <c:v>2</c:v>
                </c:pt>
                <c:pt idx="10">
                  <c:v>0.8</c:v>
                </c:pt>
                <c:pt idx="11">
                  <c:v>1.4</c:v>
                </c:pt>
                <c:pt idx="12">
                  <c:v>1.8</c:v>
                </c:pt>
                <c:pt idx="13">
                  <c:v>2.6</c:v>
                </c:pt>
                <c:pt idx="14">
                  <c:v>1.4</c:v>
                </c:pt>
                <c:pt idx="15">
                  <c:v>0.8</c:v>
                </c:pt>
                <c:pt idx="16">
                  <c:v>0.6</c:v>
                </c:pt>
                <c:pt idx="17" formatCode="0.0">
                  <c:v>1.2</c:v>
                </c:pt>
                <c:pt idx="18">
                  <c:v>3.3</c:v>
                </c:pt>
                <c:pt idx="19" formatCode="0.0">
                  <c:v>2</c:v>
                </c:pt>
                <c:pt idx="20">
                  <c:v>3.8</c:v>
                </c:pt>
                <c:pt idx="21" formatCode="0.0">
                  <c:v>2.7</c:v>
                </c:pt>
                <c:pt idx="22" formatCode="0.0">
                  <c:v>3.7</c:v>
                </c:pt>
                <c:pt idx="23" formatCode="0.0">
                  <c:v>2.5</c:v>
                </c:pt>
                <c:pt idx="24" formatCode="0.0">
                  <c:v>1.1000000000000001</c:v>
                </c:pt>
                <c:pt idx="25" formatCode="0.0">
                  <c:v>2.2999999999999998</c:v>
                </c:pt>
                <c:pt idx="26" formatCode="0.0">
                  <c:v>2.4</c:v>
                </c:pt>
                <c:pt idx="27" formatCode="0.0">
                  <c:v>2.6</c:v>
                </c:pt>
                <c:pt idx="28" formatCode="0.0">
                  <c:v>3.5</c:v>
                </c:pt>
                <c:pt idx="29" formatCode="0.0">
                  <c:v>1.5</c:v>
                </c:pt>
                <c:pt idx="30" formatCode="0.0">
                  <c:v>2.5</c:v>
                </c:pt>
                <c:pt idx="31" formatCode="0.0">
                  <c:v>1.5</c:v>
                </c:pt>
                <c:pt idx="32" formatCode="0.0">
                  <c:v>1.6</c:v>
                </c:pt>
                <c:pt idx="33" formatCode="0.0">
                  <c:v>1.7</c:v>
                </c:pt>
                <c:pt idx="34" formatCode="0.0">
                  <c:v>0.8</c:v>
                </c:pt>
                <c:pt idx="35" formatCode="0.0">
                  <c:v>5.2</c:v>
                </c:pt>
                <c:pt idx="36" formatCode="0.0">
                  <c:v>2.5</c:v>
                </c:pt>
                <c:pt idx="37" formatCode="0.0">
                  <c:v>2.5</c:v>
                </c:pt>
                <c:pt idx="38" formatCode="0.0">
                  <c:v>2.2999999999999998</c:v>
                </c:pt>
                <c:pt idx="39" formatCode="0.0">
                  <c:v>1.4</c:v>
                </c:pt>
                <c:pt idx="40" formatCode="0.0">
                  <c:v>1</c:v>
                </c:pt>
                <c:pt idx="41" formatCode="0.0">
                  <c:v>1</c:v>
                </c:pt>
                <c:pt idx="42" formatCode="0.0">
                  <c:v>1.6</c:v>
                </c:pt>
                <c:pt idx="43" formatCode="0.0">
                  <c:v>1</c:v>
                </c:pt>
                <c:pt idx="44" formatCode="0.0">
                  <c:v>1</c:v>
                </c:pt>
                <c:pt idx="45" formatCode="0.0">
                  <c:v>0.9</c:v>
                </c:pt>
                <c:pt idx="46" formatCode="0.0">
                  <c:v>1.1000000000000001</c:v>
                </c:pt>
                <c:pt idx="47" formatCode="0.0">
                  <c:v>0.9</c:v>
                </c:pt>
                <c:pt idx="48" formatCode="0.0">
                  <c:v>1</c:v>
                </c:pt>
                <c:pt idx="49" formatCode="0.0">
                  <c:v>1.1000000000000001</c:v>
                </c:pt>
                <c:pt idx="50" formatCode="0.0">
                  <c:v>1.3</c:v>
                </c:pt>
                <c:pt idx="51" formatCode="0.0">
                  <c:v>1.6</c:v>
                </c:pt>
                <c:pt idx="52" formatCode="0.0">
                  <c:v>1.5</c:v>
                </c:pt>
                <c:pt idx="53" formatCode="0.0">
                  <c:v>1.3</c:v>
                </c:pt>
                <c:pt idx="54" formatCode="0.0">
                  <c:v>1.5</c:v>
                </c:pt>
                <c:pt idx="55" formatCode="0.0">
                  <c:v>1.5</c:v>
                </c:pt>
                <c:pt idx="56" formatCode="0.0">
                  <c:v>1.5</c:v>
                </c:pt>
                <c:pt idx="57" formatCode="0.0">
                  <c:v>1.9</c:v>
                </c:pt>
                <c:pt idx="58" formatCode="0.0">
                  <c:v>1.7</c:v>
                </c:pt>
                <c:pt idx="59" formatCode="0.0">
                  <c:v>1.5</c:v>
                </c:pt>
                <c:pt idx="60" formatCode="0.0">
                  <c:v>1.6</c:v>
                </c:pt>
                <c:pt idx="61" formatCode="0.0">
                  <c:v>2.2000000000000002</c:v>
                </c:pt>
                <c:pt idx="62" formatCode="0.0">
                  <c:v>2.5</c:v>
                </c:pt>
                <c:pt idx="63" formatCode="0.0">
                  <c:v>2.1</c:v>
                </c:pt>
                <c:pt idx="64" formatCode="0.0">
                  <c:v>2.2000000000000002</c:v>
                </c:pt>
                <c:pt idx="65" formatCode="0.0">
                  <c:v>3.4</c:v>
                </c:pt>
                <c:pt idx="66" formatCode="0.0">
                  <c:v>3.4</c:v>
                </c:pt>
                <c:pt idx="67" formatCode="0.0">
                  <c:v>3.1</c:v>
                </c:pt>
                <c:pt idx="68" formatCode="0.0">
                  <c:v>2.6</c:v>
                </c:pt>
                <c:pt idx="69" formatCode="0.0">
                  <c:v>2.8</c:v>
                </c:pt>
                <c:pt idx="70" formatCode="0.0">
                  <c:v>2.6</c:v>
                </c:pt>
                <c:pt idx="71" formatCode="0.0">
                  <c:v>3</c:v>
                </c:pt>
                <c:pt idx="72" formatCode="0.0">
                  <c:v>2.2999999999999998</c:v>
                </c:pt>
                <c:pt idx="73" formatCode="0.0">
                  <c:v>3.2</c:v>
                </c:pt>
                <c:pt idx="74" formatCode="0.0">
                  <c:v>3.8</c:v>
                </c:pt>
                <c:pt idx="75" formatCode="0.0">
                  <c:v>3.6</c:v>
                </c:pt>
                <c:pt idx="76" formatCode="0.0">
                  <c:v>3.6</c:v>
                </c:pt>
                <c:pt idx="77" formatCode="0.0">
                  <c:v>3.5</c:v>
                </c:pt>
                <c:pt idx="78" formatCode="0.0">
                  <c:v>3.5</c:v>
                </c:pt>
                <c:pt idx="79" formatCode="0.0">
                  <c:v>3.1</c:v>
                </c:pt>
                <c:pt idx="80" formatCode="0.0">
                  <c:v>2.8</c:v>
                </c:pt>
                <c:pt idx="81" formatCode="0.0">
                  <c:v>2.9</c:v>
                </c:pt>
                <c:pt idx="82" formatCode="0.0">
                  <c:v>3.5</c:v>
                </c:pt>
                <c:pt idx="83" formatCode="0.0">
                  <c:v>4</c:v>
                </c:pt>
                <c:pt idx="84" formatCode="0.0">
                  <c:v>4</c:v>
                </c:pt>
                <c:pt idx="85" formatCode="0.0">
                  <c:v>4.2</c:v>
                </c:pt>
                <c:pt idx="86" formatCode="0.0">
                  <c:v>4.5999999999999996</c:v>
                </c:pt>
                <c:pt idx="87" formatCode="0.0">
                  <c:v>4.4000000000000004</c:v>
                </c:pt>
                <c:pt idx="88" formatCode="0.0">
                  <c:v>2.7</c:v>
                </c:pt>
                <c:pt idx="89" formatCode="0.0">
                  <c:v>2.7</c:v>
                </c:pt>
                <c:pt idx="90" formatCode="0.0">
                  <c:v>3.3</c:v>
                </c:pt>
                <c:pt idx="91" formatCode="0.0">
                  <c:v>3.7</c:v>
                </c:pt>
                <c:pt idx="92" formatCode="0.0">
                  <c:v>2.9</c:v>
                </c:pt>
                <c:pt idx="93" formatCode="0.0">
                  <c:v>3.4</c:v>
                </c:pt>
                <c:pt idx="94" formatCode="0.0">
                  <c:v>3.3</c:v>
                </c:pt>
                <c:pt idx="95" formatCode="0.0">
                  <c:v>3.4</c:v>
                </c:pt>
                <c:pt idx="96" formatCode="0.0">
                  <c:v>5</c:v>
                </c:pt>
                <c:pt idx="97" formatCode="0.0">
                  <c:v>5.2</c:v>
                </c:pt>
                <c:pt idx="98" formatCode="0.0">
                  <c:v>6.2</c:v>
                </c:pt>
                <c:pt idx="99" formatCode="0.0">
                  <c:v>5.2</c:v>
                </c:pt>
                <c:pt idx="100" formatCode="0.0">
                  <c:v>5.3</c:v>
                </c:pt>
                <c:pt idx="101" formatCode="0.0">
                  <c:v>3</c:v>
                </c:pt>
                <c:pt idx="102" formatCode="0.0">
                  <c:v>2.2999999999999998</c:v>
                </c:pt>
                <c:pt idx="103" formatCode="0.0">
                  <c:v>3.1</c:v>
                </c:pt>
                <c:pt idx="104" formatCode="0.0">
                  <c:v>2.9</c:v>
                </c:pt>
                <c:pt idx="105" formatCode="0.0">
                  <c:v>3.3</c:v>
                </c:pt>
                <c:pt idx="106" formatCode="0.0">
                  <c:v>3.1</c:v>
                </c:pt>
                <c:pt idx="107" formatCode="0.0">
                  <c:v>2.7</c:v>
                </c:pt>
                <c:pt idx="108" formatCode="0.0">
                  <c:v>1.4</c:v>
                </c:pt>
                <c:pt idx="109" formatCode="0.0">
                  <c:v>1.7</c:v>
                </c:pt>
                <c:pt idx="110">
                  <c:v>2.5</c:v>
                </c:pt>
                <c:pt idx="111">
                  <c:v>2.2999999999999998</c:v>
                </c:pt>
                <c:pt idx="112">
                  <c:v>2.2000000000000002</c:v>
                </c:pt>
                <c:pt idx="113">
                  <c:v>2.5</c:v>
                </c:pt>
                <c:pt idx="114">
                  <c:v>1.8</c:v>
                </c:pt>
                <c:pt idx="115">
                  <c:v>2.5</c:v>
                </c:pt>
                <c:pt idx="116">
                  <c:v>2.8</c:v>
                </c:pt>
                <c:pt idx="117">
                  <c:v>2.7</c:v>
                </c:pt>
                <c:pt idx="118">
                  <c:v>1.2</c:v>
                </c:pt>
                <c:pt idx="119">
                  <c:v>1.2</c:v>
                </c:pt>
                <c:pt idx="120">
                  <c:v>1.4</c:v>
                </c:pt>
                <c:pt idx="121">
                  <c:v>1.2</c:v>
                </c:pt>
                <c:pt idx="122">
                  <c:v>2.2999999999999998</c:v>
                </c:pt>
                <c:pt idx="123">
                  <c:v>2.1</c:v>
                </c:pt>
                <c:pt idx="124">
                  <c:v>1.4</c:v>
                </c:pt>
                <c:pt idx="125">
                  <c:v>1.2</c:v>
                </c:pt>
                <c:pt idx="126">
                  <c:v>1.7</c:v>
                </c:pt>
                <c:pt idx="127">
                  <c:v>2.1</c:v>
                </c:pt>
                <c:pt idx="128">
                  <c:v>1.6</c:v>
                </c:pt>
                <c:pt idx="129">
                  <c:v>1.7</c:v>
                </c:pt>
                <c:pt idx="130">
                  <c:v>1.7</c:v>
                </c:pt>
                <c:pt idx="131">
                  <c:v>1.6</c:v>
                </c:pt>
                <c:pt idx="132">
                  <c:v>1.2</c:v>
                </c:pt>
                <c:pt idx="133">
                  <c:v>1.2</c:v>
                </c:pt>
                <c:pt idx="134">
                  <c:v>4.5</c:v>
                </c:pt>
                <c:pt idx="135">
                  <c:v>4.7</c:v>
                </c:pt>
                <c:pt idx="136">
                  <c:v>3.5</c:v>
                </c:pt>
                <c:pt idx="137">
                  <c:v>0.7</c:v>
                </c:pt>
                <c:pt idx="138">
                  <c:v>2.5</c:v>
                </c:pt>
                <c:pt idx="139">
                  <c:v>0.6</c:v>
                </c:pt>
                <c:pt idx="140">
                  <c:v>0.3</c:v>
                </c:pt>
                <c:pt idx="141">
                  <c:v>0.6</c:v>
                </c:pt>
                <c:pt idx="142">
                  <c:v>0.5</c:v>
                </c:pt>
                <c:pt idx="143">
                  <c:v>2</c:v>
                </c:pt>
                <c:pt idx="144">
                  <c:v>2.1</c:v>
                </c:pt>
                <c:pt idx="145">
                  <c:v>1.8</c:v>
                </c:pt>
                <c:pt idx="146">
                  <c:v>1.3</c:v>
                </c:pt>
                <c:pt idx="147">
                  <c:v>2.5</c:v>
                </c:pt>
                <c:pt idx="148">
                  <c:v>2.9</c:v>
                </c:pt>
                <c:pt idx="149">
                  <c:v>3</c:v>
                </c:pt>
                <c:pt idx="150">
                  <c:v>0.9</c:v>
                </c:pt>
                <c:pt idx="151">
                  <c:v>1.2</c:v>
                </c:pt>
                <c:pt idx="152">
                  <c:v>3.4</c:v>
                </c:pt>
                <c:pt idx="153">
                  <c:v>4.0999999999999996</c:v>
                </c:pt>
                <c:pt idx="154">
                  <c:v>1.2</c:v>
                </c:pt>
                <c:pt idx="155">
                  <c:v>0.8</c:v>
                </c:pt>
                <c:pt idx="156">
                  <c:v>0.3</c:v>
                </c:pt>
                <c:pt idx="157">
                  <c:v>1.2</c:v>
                </c:pt>
                <c:pt idx="158">
                  <c:v>1.8</c:v>
                </c:pt>
                <c:pt idx="159">
                  <c:v>2.5</c:v>
                </c:pt>
                <c:pt idx="160">
                  <c:v>3.5</c:v>
                </c:pt>
                <c:pt idx="161">
                  <c:v>0.7</c:v>
                </c:pt>
                <c:pt idx="162">
                  <c:v>1.8</c:v>
                </c:pt>
                <c:pt idx="163">
                  <c:v>0.8</c:v>
                </c:pt>
                <c:pt idx="165">
                  <c:v>0.8</c:v>
                </c:pt>
                <c:pt idx="166">
                  <c:v>0.8</c:v>
                </c:pt>
                <c:pt idx="167">
                  <c:v>0.9</c:v>
                </c:pt>
                <c:pt idx="168">
                  <c:v>0.4</c:v>
                </c:pt>
                <c:pt idx="169">
                  <c:v>0.4</c:v>
                </c:pt>
                <c:pt idx="170">
                  <c:v>2</c:v>
                </c:pt>
                <c:pt idx="171">
                  <c:v>1.5</c:v>
                </c:pt>
                <c:pt idx="172">
                  <c:v>0.6</c:v>
                </c:pt>
                <c:pt idx="173">
                  <c:v>1.7</c:v>
                </c:pt>
                <c:pt idx="174">
                  <c:v>0.6</c:v>
                </c:pt>
                <c:pt idx="175">
                  <c:v>0.5</c:v>
                </c:pt>
                <c:pt idx="176">
                  <c:v>0.6</c:v>
                </c:pt>
                <c:pt idx="177">
                  <c:v>1.5</c:v>
                </c:pt>
                <c:pt idx="178">
                  <c:v>1.3</c:v>
                </c:pt>
                <c:pt idx="179">
                  <c:v>0.9</c:v>
                </c:pt>
                <c:pt idx="180">
                  <c:v>1</c:v>
                </c:pt>
                <c:pt idx="181">
                  <c:v>0.8</c:v>
                </c:pt>
                <c:pt idx="182">
                  <c:v>1.3</c:v>
                </c:pt>
                <c:pt idx="183">
                  <c:v>2.9</c:v>
                </c:pt>
                <c:pt idx="184">
                  <c:v>1.8</c:v>
                </c:pt>
                <c:pt idx="185">
                  <c:v>1.2</c:v>
                </c:pt>
                <c:pt idx="186">
                  <c:v>2</c:v>
                </c:pt>
                <c:pt idx="187">
                  <c:v>1.5</c:v>
                </c:pt>
                <c:pt idx="188">
                  <c:v>1</c:v>
                </c:pt>
                <c:pt idx="189">
                  <c:v>2.1</c:v>
                </c:pt>
                <c:pt idx="190">
                  <c:v>3.6</c:v>
                </c:pt>
                <c:pt idx="191">
                  <c:v>1.1000000000000001</c:v>
                </c:pt>
                <c:pt idx="192">
                  <c:v>0.4</c:v>
                </c:pt>
                <c:pt idx="193" formatCode="0.0">
                  <c:v>1</c:v>
                </c:pt>
                <c:pt idx="194">
                  <c:v>1.7</c:v>
                </c:pt>
                <c:pt idx="195">
                  <c:v>1.9</c:v>
                </c:pt>
                <c:pt idx="196">
                  <c:v>2.4</c:v>
                </c:pt>
                <c:pt idx="197">
                  <c:v>2.1</c:v>
                </c:pt>
              </c:numCache>
            </c:numRef>
          </c:val>
          <c:smooth val="0"/>
          <c:extLst>
            <c:ext xmlns:c16="http://schemas.microsoft.com/office/drawing/2014/chart" uri="{C3380CC4-5D6E-409C-BE32-E72D297353CC}">
              <c16:uniqueId val="{00000000-0526-4B9F-A7A5-E5D205EF1A6C}"/>
            </c:ext>
          </c:extLst>
        </c:ser>
        <c:ser>
          <c:idx val="1"/>
          <c:order val="1"/>
          <c:tx>
            <c:strRef>
              <c:f>'Regional NSW'!$A$27</c:f>
              <c:strCache>
                <c:ptCount val="1"/>
                <c:pt idx="0">
                  <c:v>South Coast</c:v>
                </c:pt>
              </c:strCache>
            </c:strRef>
          </c:tx>
          <c:spPr>
            <a:ln w="28575" cap="rnd">
              <a:solidFill>
                <a:srgbClr val="00B0F0"/>
              </a:solidFill>
              <a:round/>
            </a:ln>
            <a:effectLst/>
          </c:spPr>
          <c:marker>
            <c:symbol val="none"/>
          </c:marker>
          <c:cat>
            <c:numRef>
              <c:f>'Regional NSW'!$B$25:$GQ$25</c:f>
              <c:numCache>
                <c:formatCode>mmm\-yy</c:formatCode>
                <c:ptCount val="198"/>
                <c:pt idx="0">
                  <c:v>38991</c:v>
                </c:pt>
                <c:pt idx="1">
                  <c:v>39022</c:v>
                </c:pt>
                <c:pt idx="2">
                  <c:v>39052</c:v>
                </c:pt>
                <c:pt idx="3">
                  <c:v>39083</c:v>
                </c:pt>
                <c:pt idx="4">
                  <c:v>39114</c:v>
                </c:pt>
                <c:pt idx="5">
                  <c:v>39142</c:v>
                </c:pt>
                <c:pt idx="6">
                  <c:v>39173</c:v>
                </c:pt>
                <c:pt idx="7">
                  <c:v>39203</c:v>
                </c:pt>
                <c:pt idx="8">
                  <c:v>39234</c:v>
                </c:pt>
                <c:pt idx="9">
                  <c:v>39264</c:v>
                </c:pt>
                <c:pt idx="10">
                  <c:v>39295</c:v>
                </c:pt>
                <c:pt idx="11">
                  <c:v>39326</c:v>
                </c:pt>
                <c:pt idx="12">
                  <c:v>39356</c:v>
                </c:pt>
                <c:pt idx="13">
                  <c:v>39387</c:v>
                </c:pt>
                <c:pt idx="14">
                  <c:v>39448</c:v>
                </c:pt>
                <c:pt idx="15">
                  <c:v>39479</c:v>
                </c:pt>
                <c:pt idx="16">
                  <c:v>39508</c:v>
                </c:pt>
                <c:pt idx="17">
                  <c:v>39539</c:v>
                </c:pt>
                <c:pt idx="18">
                  <c:v>39569</c:v>
                </c:pt>
                <c:pt idx="19">
                  <c:v>39600</c:v>
                </c:pt>
                <c:pt idx="20">
                  <c:v>39630</c:v>
                </c:pt>
                <c:pt idx="21">
                  <c:v>39661</c:v>
                </c:pt>
                <c:pt idx="22">
                  <c:v>39692</c:v>
                </c:pt>
                <c:pt idx="23">
                  <c:v>39722</c:v>
                </c:pt>
                <c:pt idx="24">
                  <c:v>39753</c:v>
                </c:pt>
                <c:pt idx="25">
                  <c:v>39783</c:v>
                </c:pt>
                <c:pt idx="26">
                  <c:v>39814</c:v>
                </c:pt>
                <c:pt idx="27">
                  <c:v>39845</c:v>
                </c:pt>
                <c:pt idx="28">
                  <c:v>39873</c:v>
                </c:pt>
                <c:pt idx="29">
                  <c:v>39904</c:v>
                </c:pt>
                <c:pt idx="30">
                  <c:v>39934</c:v>
                </c:pt>
                <c:pt idx="31">
                  <c:v>39965</c:v>
                </c:pt>
                <c:pt idx="32">
                  <c:v>39995</c:v>
                </c:pt>
                <c:pt idx="33">
                  <c:v>40026</c:v>
                </c:pt>
                <c:pt idx="34">
                  <c:v>40057</c:v>
                </c:pt>
                <c:pt idx="35">
                  <c:v>40087</c:v>
                </c:pt>
                <c:pt idx="36">
                  <c:v>40118</c:v>
                </c:pt>
                <c:pt idx="37">
                  <c:v>40148</c:v>
                </c:pt>
                <c:pt idx="38">
                  <c:v>40179</c:v>
                </c:pt>
                <c:pt idx="39">
                  <c:v>40210</c:v>
                </c:pt>
                <c:pt idx="40">
                  <c:v>40238</c:v>
                </c:pt>
                <c:pt idx="41">
                  <c:v>40269</c:v>
                </c:pt>
                <c:pt idx="42">
                  <c:v>40299</c:v>
                </c:pt>
                <c:pt idx="43">
                  <c:v>40330</c:v>
                </c:pt>
                <c:pt idx="44">
                  <c:v>40360</c:v>
                </c:pt>
                <c:pt idx="45">
                  <c:v>40391</c:v>
                </c:pt>
                <c:pt idx="46">
                  <c:v>40422</c:v>
                </c:pt>
                <c:pt idx="47">
                  <c:v>40452</c:v>
                </c:pt>
                <c:pt idx="48">
                  <c:v>40483</c:v>
                </c:pt>
                <c:pt idx="49">
                  <c:v>40513</c:v>
                </c:pt>
                <c:pt idx="50">
                  <c:v>40544</c:v>
                </c:pt>
                <c:pt idx="51">
                  <c:v>40575</c:v>
                </c:pt>
                <c:pt idx="52">
                  <c:v>40603</c:v>
                </c:pt>
                <c:pt idx="53">
                  <c:v>40634</c:v>
                </c:pt>
                <c:pt idx="54">
                  <c:v>40664</c:v>
                </c:pt>
                <c:pt idx="55">
                  <c:v>40695</c:v>
                </c:pt>
                <c:pt idx="56">
                  <c:v>40725</c:v>
                </c:pt>
                <c:pt idx="57">
                  <c:v>40756</c:v>
                </c:pt>
                <c:pt idx="58">
                  <c:v>40787</c:v>
                </c:pt>
                <c:pt idx="59">
                  <c:v>40817</c:v>
                </c:pt>
                <c:pt idx="60">
                  <c:v>40848</c:v>
                </c:pt>
                <c:pt idx="61">
                  <c:v>40878</c:v>
                </c:pt>
                <c:pt idx="62">
                  <c:v>40909</c:v>
                </c:pt>
                <c:pt idx="63">
                  <c:v>40940</c:v>
                </c:pt>
                <c:pt idx="64">
                  <c:v>40969</c:v>
                </c:pt>
                <c:pt idx="65">
                  <c:v>41000</c:v>
                </c:pt>
                <c:pt idx="66">
                  <c:v>41030</c:v>
                </c:pt>
                <c:pt idx="67">
                  <c:v>41061</c:v>
                </c:pt>
                <c:pt idx="68">
                  <c:v>41091</c:v>
                </c:pt>
                <c:pt idx="69">
                  <c:v>41122</c:v>
                </c:pt>
                <c:pt idx="70">
                  <c:v>41153</c:v>
                </c:pt>
                <c:pt idx="71">
                  <c:v>41183</c:v>
                </c:pt>
                <c:pt idx="72">
                  <c:v>41214</c:v>
                </c:pt>
                <c:pt idx="73">
                  <c:v>41244</c:v>
                </c:pt>
                <c:pt idx="74">
                  <c:v>41275</c:v>
                </c:pt>
                <c:pt idx="75">
                  <c:v>41306</c:v>
                </c:pt>
                <c:pt idx="76">
                  <c:v>41334</c:v>
                </c:pt>
                <c:pt idx="77">
                  <c:v>41365</c:v>
                </c:pt>
                <c:pt idx="78">
                  <c:v>41395</c:v>
                </c:pt>
                <c:pt idx="79">
                  <c:v>41426</c:v>
                </c:pt>
                <c:pt idx="80">
                  <c:v>41456</c:v>
                </c:pt>
                <c:pt idx="81">
                  <c:v>41487</c:v>
                </c:pt>
                <c:pt idx="82">
                  <c:v>41518</c:v>
                </c:pt>
                <c:pt idx="83">
                  <c:v>41548</c:v>
                </c:pt>
                <c:pt idx="84">
                  <c:v>41579</c:v>
                </c:pt>
                <c:pt idx="85">
                  <c:v>41609</c:v>
                </c:pt>
                <c:pt idx="86">
                  <c:v>41640</c:v>
                </c:pt>
                <c:pt idx="87">
                  <c:v>41671</c:v>
                </c:pt>
                <c:pt idx="88">
                  <c:v>41699</c:v>
                </c:pt>
                <c:pt idx="89">
                  <c:v>41730</c:v>
                </c:pt>
                <c:pt idx="90">
                  <c:v>41760</c:v>
                </c:pt>
                <c:pt idx="91">
                  <c:v>41791</c:v>
                </c:pt>
                <c:pt idx="92">
                  <c:v>41821</c:v>
                </c:pt>
                <c:pt idx="93">
                  <c:v>41852</c:v>
                </c:pt>
                <c:pt idx="94">
                  <c:v>41883</c:v>
                </c:pt>
                <c:pt idx="95">
                  <c:v>41913</c:v>
                </c:pt>
                <c:pt idx="96">
                  <c:v>41944</c:v>
                </c:pt>
                <c:pt idx="97">
                  <c:v>41974</c:v>
                </c:pt>
                <c:pt idx="98">
                  <c:v>42005</c:v>
                </c:pt>
                <c:pt idx="99">
                  <c:v>42036</c:v>
                </c:pt>
                <c:pt idx="100">
                  <c:v>42064</c:v>
                </c:pt>
                <c:pt idx="101">
                  <c:v>42095</c:v>
                </c:pt>
                <c:pt idx="102">
                  <c:v>42125</c:v>
                </c:pt>
                <c:pt idx="103">
                  <c:v>42156</c:v>
                </c:pt>
                <c:pt idx="104">
                  <c:v>42186</c:v>
                </c:pt>
                <c:pt idx="105">
                  <c:v>42217</c:v>
                </c:pt>
                <c:pt idx="106">
                  <c:v>42248</c:v>
                </c:pt>
                <c:pt idx="107">
                  <c:v>42278</c:v>
                </c:pt>
                <c:pt idx="108">
                  <c:v>42309</c:v>
                </c:pt>
                <c:pt idx="109">
                  <c:v>42339</c:v>
                </c:pt>
                <c:pt idx="110">
                  <c:v>42370</c:v>
                </c:pt>
                <c:pt idx="111">
                  <c:v>42401</c:v>
                </c:pt>
                <c:pt idx="112">
                  <c:v>42430</c:v>
                </c:pt>
                <c:pt idx="113">
                  <c:v>42461</c:v>
                </c:pt>
                <c:pt idx="114">
                  <c:v>42491</c:v>
                </c:pt>
                <c:pt idx="115">
                  <c:v>42522</c:v>
                </c:pt>
                <c:pt idx="116">
                  <c:v>42552</c:v>
                </c:pt>
                <c:pt idx="117">
                  <c:v>42583</c:v>
                </c:pt>
                <c:pt idx="118">
                  <c:v>42614</c:v>
                </c:pt>
                <c:pt idx="119">
                  <c:v>42644</c:v>
                </c:pt>
                <c:pt idx="120">
                  <c:v>42675</c:v>
                </c:pt>
                <c:pt idx="121">
                  <c:v>42705</c:v>
                </c:pt>
                <c:pt idx="122">
                  <c:v>42736</c:v>
                </c:pt>
                <c:pt idx="123">
                  <c:v>42767</c:v>
                </c:pt>
                <c:pt idx="124">
                  <c:v>42795</c:v>
                </c:pt>
                <c:pt idx="125">
                  <c:v>42826</c:v>
                </c:pt>
                <c:pt idx="126">
                  <c:v>42856</c:v>
                </c:pt>
                <c:pt idx="127">
                  <c:v>42887</c:v>
                </c:pt>
                <c:pt idx="128">
                  <c:v>42917</c:v>
                </c:pt>
                <c:pt idx="129">
                  <c:v>42948</c:v>
                </c:pt>
                <c:pt idx="130">
                  <c:v>42979</c:v>
                </c:pt>
                <c:pt idx="131">
                  <c:v>43009</c:v>
                </c:pt>
                <c:pt idx="132">
                  <c:v>43040</c:v>
                </c:pt>
                <c:pt idx="133">
                  <c:v>43070</c:v>
                </c:pt>
                <c:pt idx="134">
                  <c:v>43101</c:v>
                </c:pt>
                <c:pt idx="135">
                  <c:v>43132</c:v>
                </c:pt>
                <c:pt idx="136">
                  <c:v>43160</c:v>
                </c:pt>
                <c:pt idx="137">
                  <c:v>43191</c:v>
                </c:pt>
                <c:pt idx="138">
                  <c:v>43221</c:v>
                </c:pt>
                <c:pt idx="139">
                  <c:v>43252</c:v>
                </c:pt>
                <c:pt idx="140">
                  <c:v>43282</c:v>
                </c:pt>
                <c:pt idx="141">
                  <c:v>43313</c:v>
                </c:pt>
                <c:pt idx="142">
                  <c:v>43344</c:v>
                </c:pt>
                <c:pt idx="143">
                  <c:v>43374</c:v>
                </c:pt>
                <c:pt idx="144">
                  <c:v>43405</c:v>
                </c:pt>
                <c:pt idx="145">
                  <c:v>43435</c:v>
                </c:pt>
                <c:pt idx="146">
                  <c:v>43466</c:v>
                </c:pt>
                <c:pt idx="147">
                  <c:v>43497</c:v>
                </c:pt>
                <c:pt idx="148">
                  <c:v>43525</c:v>
                </c:pt>
                <c:pt idx="149">
                  <c:v>43556</c:v>
                </c:pt>
                <c:pt idx="150">
                  <c:v>43586</c:v>
                </c:pt>
                <c:pt idx="151">
                  <c:v>43617</c:v>
                </c:pt>
                <c:pt idx="152">
                  <c:v>43647</c:v>
                </c:pt>
                <c:pt idx="153">
                  <c:v>43678</c:v>
                </c:pt>
                <c:pt idx="154">
                  <c:v>43709</c:v>
                </c:pt>
                <c:pt idx="155">
                  <c:v>43739</c:v>
                </c:pt>
                <c:pt idx="156">
                  <c:v>43770</c:v>
                </c:pt>
                <c:pt idx="157">
                  <c:v>43800</c:v>
                </c:pt>
                <c:pt idx="158">
                  <c:v>43831</c:v>
                </c:pt>
                <c:pt idx="159">
                  <c:v>43862</c:v>
                </c:pt>
                <c:pt idx="160">
                  <c:v>43891</c:v>
                </c:pt>
                <c:pt idx="161">
                  <c:v>43922</c:v>
                </c:pt>
                <c:pt idx="162">
                  <c:v>43952</c:v>
                </c:pt>
                <c:pt idx="163">
                  <c:v>43983</c:v>
                </c:pt>
                <c:pt idx="164">
                  <c:v>44013</c:v>
                </c:pt>
                <c:pt idx="165">
                  <c:v>44044</c:v>
                </c:pt>
                <c:pt idx="166">
                  <c:v>44075</c:v>
                </c:pt>
                <c:pt idx="167">
                  <c:v>44105</c:v>
                </c:pt>
                <c:pt idx="168">
                  <c:v>44136</c:v>
                </c:pt>
                <c:pt idx="169">
                  <c:v>44166</c:v>
                </c:pt>
                <c:pt idx="170">
                  <c:v>44197</c:v>
                </c:pt>
                <c:pt idx="171">
                  <c:v>44228</c:v>
                </c:pt>
                <c:pt idx="172">
                  <c:v>44256</c:v>
                </c:pt>
                <c:pt idx="173">
                  <c:v>44287</c:v>
                </c:pt>
                <c:pt idx="174">
                  <c:v>44317</c:v>
                </c:pt>
                <c:pt idx="175">
                  <c:v>44348</c:v>
                </c:pt>
                <c:pt idx="176">
                  <c:v>44378</c:v>
                </c:pt>
                <c:pt idx="177">
                  <c:v>44409</c:v>
                </c:pt>
                <c:pt idx="178">
                  <c:v>44440</c:v>
                </c:pt>
                <c:pt idx="179">
                  <c:v>44470</c:v>
                </c:pt>
                <c:pt idx="180">
                  <c:v>44501</c:v>
                </c:pt>
                <c:pt idx="181">
                  <c:v>44531</c:v>
                </c:pt>
                <c:pt idx="182">
                  <c:v>44562</c:v>
                </c:pt>
                <c:pt idx="183">
                  <c:v>44593</c:v>
                </c:pt>
                <c:pt idx="184">
                  <c:v>44621</c:v>
                </c:pt>
                <c:pt idx="185">
                  <c:v>44652</c:v>
                </c:pt>
                <c:pt idx="186">
                  <c:v>44682</c:v>
                </c:pt>
                <c:pt idx="187">
                  <c:v>44713</c:v>
                </c:pt>
                <c:pt idx="188">
                  <c:v>44743</c:v>
                </c:pt>
                <c:pt idx="189">
                  <c:v>44774</c:v>
                </c:pt>
                <c:pt idx="190">
                  <c:v>44805</c:v>
                </c:pt>
                <c:pt idx="191">
                  <c:v>44835</c:v>
                </c:pt>
                <c:pt idx="192">
                  <c:v>44866</c:v>
                </c:pt>
                <c:pt idx="193">
                  <c:v>44896</c:v>
                </c:pt>
                <c:pt idx="194">
                  <c:v>44927</c:v>
                </c:pt>
                <c:pt idx="195">
                  <c:v>44958</c:v>
                </c:pt>
                <c:pt idx="196">
                  <c:v>44986</c:v>
                </c:pt>
                <c:pt idx="197">
                  <c:v>45017</c:v>
                </c:pt>
              </c:numCache>
            </c:numRef>
          </c:cat>
          <c:val>
            <c:numRef>
              <c:f>'Regional NSW'!$B$27:$GQ$27</c:f>
              <c:numCache>
                <c:formatCode>General</c:formatCode>
                <c:ptCount val="198"/>
                <c:pt idx="0">
                  <c:v>3.3</c:v>
                </c:pt>
                <c:pt idx="1">
                  <c:v>4.3</c:v>
                </c:pt>
                <c:pt idx="2">
                  <c:v>3.3</c:v>
                </c:pt>
                <c:pt idx="3">
                  <c:v>3.4</c:v>
                </c:pt>
                <c:pt idx="4" formatCode="0.0">
                  <c:v>3</c:v>
                </c:pt>
                <c:pt idx="5">
                  <c:v>3.8</c:v>
                </c:pt>
                <c:pt idx="6">
                  <c:v>4.0999999999999996</c:v>
                </c:pt>
                <c:pt idx="7">
                  <c:v>4.5</c:v>
                </c:pt>
                <c:pt idx="8">
                  <c:v>4.8</c:v>
                </c:pt>
                <c:pt idx="9">
                  <c:v>4.8</c:v>
                </c:pt>
                <c:pt idx="10">
                  <c:v>5.2</c:v>
                </c:pt>
                <c:pt idx="11">
                  <c:v>4.8</c:v>
                </c:pt>
                <c:pt idx="12">
                  <c:v>4.8</c:v>
                </c:pt>
                <c:pt idx="13">
                  <c:v>3.3</c:v>
                </c:pt>
                <c:pt idx="14">
                  <c:v>2.1</c:v>
                </c:pt>
                <c:pt idx="15" formatCode="0.0">
                  <c:v>4</c:v>
                </c:pt>
                <c:pt idx="16">
                  <c:v>2.6</c:v>
                </c:pt>
                <c:pt idx="17" formatCode="0.0">
                  <c:v>4</c:v>
                </c:pt>
                <c:pt idx="18">
                  <c:v>3.6</c:v>
                </c:pt>
                <c:pt idx="19" formatCode="0.0">
                  <c:v>3.8</c:v>
                </c:pt>
                <c:pt idx="20">
                  <c:v>3.8</c:v>
                </c:pt>
                <c:pt idx="21" formatCode="0.0">
                  <c:v>4</c:v>
                </c:pt>
                <c:pt idx="22" formatCode="0.0">
                  <c:v>4.0999999999999996</c:v>
                </c:pt>
                <c:pt idx="23" formatCode="0.0">
                  <c:v>3.4</c:v>
                </c:pt>
                <c:pt idx="24" formatCode="0.0">
                  <c:v>2.5</c:v>
                </c:pt>
                <c:pt idx="25" formatCode="0.0">
                  <c:v>2.5</c:v>
                </c:pt>
                <c:pt idx="26" formatCode="0.0">
                  <c:v>2.6</c:v>
                </c:pt>
                <c:pt idx="27" formatCode="0.0">
                  <c:v>3.3</c:v>
                </c:pt>
                <c:pt idx="28" formatCode="0.0">
                  <c:v>2.2999999999999998</c:v>
                </c:pt>
                <c:pt idx="29" formatCode="0.0">
                  <c:v>3.7</c:v>
                </c:pt>
                <c:pt idx="30" formatCode="0.0">
                  <c:v>3.5</c:v>
                </c:pt>
                <c:pt idx="31" formatCode="0.0">
                  <c:v>3.5</c:v>
                </c:pt>
                <c:pt idx="32" formatCode="0.0">
                  <c:v>3.5</c:v>
                </c:pt>
                <c:pt idx="33" formatCode="0.0">
                  <c:v>2.2000000000000002</c:v>
                </c:pt>
                <c:pt idx="34" formatCode="0.0">
                  <c:v>2.9</c:v>
                </c:pt>
                <c:pt idx="35" formatCode="0.0">
                  <c:v>2.1</c:v>
                </c:pt>
                <c:pt idx="36" formatCode="0.0">
                  <c:v>2.5</c:v>
                </c:pt>
                <c:pt idx="37" formatCode="0.0">
                  <c:v>2.5</c:v>
                </c:pt>
                <c:pt idx="38" formatCode="0.0">
                  <c:v>2</c:v>
                </c:pt>
                <c:pt idx="39" formatCode="0.0">
                  <c:v>1.1000000000000001</c:v>
                </c:pt>
                <c:pt idx="40" formatCode="0.0">
                  <c:v>3.2</c:v>
                </c:pt>
                <c:pt idx="41" formatCode="0.0">
                  <c:v>3.2</c:v>
                </c:pt>
                <c:pt idx="42" formatCode="0.0">
                  <c:v>2.2000000000000002</c:v>
                </c:pt>
                <c:pt idx="43" formatCode="0.0">
                  <c:v>2.2999999999999998</c:v>
                </c:pt>
                <c:pt idx="44" formatCode="0.0">
                  <c:v>2.2999999999999998</c:v>
                </c:pt>
                <c:pt idx="45" formatCode="0.0">
                  <c:v>1.6</c:v>
                </c:pt>
                <c:pt idx="46" formatCode="0.0">
                  <c:v>1.5</c:v>
                </c:pt>
                <c:pt idx="47" formatCode="0.0">
                  <c:v>1.4</c:v>
                </c:pt>
                <c:pt idx="48" formatCode="0.0">
                  <c:v>1.7</c:v>
                </c:pt>
                <c:pt idx="49" formatCode="0.0">
                  <c:v>1.6</c:v>
                </c:pt>
                <c:pt idx="50" formatCode="0.0">
                  <c:v>1.5</c:v>
                </c:pt>
                <c:pt idx="51" formatCode="0.0">
                  <c:v>1.7</c:v>
                </c:pt>
                <c:pt idx="52" formatCode="0.0">
                  <c:v>2.1</c:v>
                </c:pt>
                <c:pt idx="53" formatCode="0.0">
                  <c:v>1.9</c:v>
                </c:pt>
                <c:pt idx="54" formatCode="0.0">
                  <c:v>1.7</c:v>
                </c:pt>
                <c:pt idx="55" formatCode="0.0">
                  <c:v>2.6</c:v>
                </c:pt>
                <c:pt idx="56" formatCode="0.0">
                  <c:v>2.6</c:v>
                </c:pt>
                <c:pt idx="57" formatCode="0.0">
                  <c:v>3.1</c:v>
                </c:pt>
                <c:pt idx="58" formatCode="0.0">
                  <c:v>2.9</c:v>
                </c:pt>
                <c:pt idx="59" formatCode="0.0">
                  <c:v>2.2000000000000002</c:v>
                </c:pt>
                <c:pt idx="60" formatCode="0.0">
                  <c:v>2.1</c:v>
                </c:pt>
                <c:pt idx="61" formatCode="0.0">
                  <c:v>1.9</c:v>
                </c:pt>
                <c:pt idx="62" formatCode="0.0">
                  <c:v>2.7</c:v>
                </c:pt>
                <c:pt idx="63" formatCode="0.0">
                  <c:v>2.6</c:v>
                </c:pt>
                <c:pt idx="64" formatCode="0.0">
                  <c:v>3.1</c:v>
                </c:pt>
                <c:pt idx="65" formatCode="0.0">
                  <c:v>2.2000000000000002</c:v>
                </c:pt>
                <c:pt idx="66" formatCode="0.0">
                  <c:v>3.7</c:v>
                </c:pt>
                <c:pt idx="67" formatCode="0.0">
                  <c:v>4.4000000000000004</c:v>
                </c:pt>
                <c:pt idx="68" formatCode="0.0">
                  <c:v>4.4000000000000004</c:v>
                </c:pt>
                <c:pt idx="69" formatCode="0.0">
                  <c:v>3.6</c:v>
                </c:pt>
                <c:pt idx="70" formatCode="0.0">
                  <c:v>3.2</c:v>
                </c:pt>
                <c:pt idx="71" formatCode="0.0">
                  <c:v>3.1</c:v>
                </c:pt>
                <c:pt idx="72" formatCode="0.0">
                  <c:v>2.8</c:v>
                </c:pt>
                <c:pt idx="73" formatCode="0.0">
                  <c:v>2.2999999999999998</c:v>
                </c:pt>
                <c:pt idx="74" formatCode="0.0">
                  <c:v>2.2999999999999998</c:v>
                </c:pt>
                <c:pt idx="75" formatCode="0.0">
                  <c:v>2.5</c:v>
                </c:pt>
                <c:pt idx="76" formatCode="0.0">
                  <c:v>2.8</c:v>
                </c:pt>
                <c:pt idx="77" formatCode="0.0">
                  <c:v>3.1</c:v>
                </c:pt>
                <c:pt idx="78" formatCode="0.0">
                  <c:v>3.4</c:v>
                </c:pt>
                <c:pt idx="79" formatCode="0.0">
                  <c:v>3.1</c:v>
                </c:pt>
                <c:pt idx="80" formatCode="0.0">
                  <c:v>3.2</c:v>
                </c:pt>
                <c:pt idx="81" formatCode="0.0">
                  <c:v>2.5</c:v>
                </c:pt>
                <c:pt idx="82" formatCode="0.0">
                  <c:v>2.4</c:v>
                </c:pt>
                <c:pt idx="83" formatCode="0.0">
                  <c:v>2.7</c:v>
                </c:pt>
                <c:pt idx="84" formatCode="0.0">
                  <c:v>1.8</c:v>
                </c:pt>
                <c:pt idx="85" formatCode="0.0">
                  <c:v>2</c:v>
                </c:pt>
                <c:pt idx="86" formatCode="0.0">
                  <c:v>2.7</c:v>
                </c:pt>
                <c:pt idx="87" formatCode="0.0">
                  <c:v>2.2000000000000002</c:v>
                </c:pt>
                <c:pt idx="88" formatCode="0.0">
                  <c:v>2.5</c:v>
                </c:pt>
                <c:pt idx="89" formatCode="0.0">
                  <c:v>2.2000000000000002</c:v>
                </c:pt>
                <c:pt idx="90" formatCode="0.0">
                  <c:v>2.1</c:v>
                </c:pt>
                <c:pt idx="91" formatCode="0.0">
                  <c:v>2.7</c:v>
                </c:pt>
                <c:pt idx="92" formatCode="0.0">
                  <c:v>4.0999999999999996</c:v>
                </c:pt>
                <c:pt idx="93" formatCode="0.0">
                  <c:v>3.9</c:v>
                </c:pt>
                <c:pt idx="94" formatCode="0.0">
                  <c:v>3.2</c:v>
                </c:pt>
                <c:pt idx="95" formatCode="0.0">
                  <c:v>2.8</c:v>
                </c:pt>
                <c:pt idx="96" formatCode="0.0">
                  <c:v>2.7</c:v>
                </c:pt>
                <c:pt idx="97" formatCode="0.0">
                  <c:v>2.8</c:v>
                </c:pt>
                <c:pt idx="98" formatCode="0.0">
                  <c:v>2</c:v>
                </c:pt>
                <c:pt idx="99" formatCode="0.0">
                  <c:v>2.2999999999999998</c:v>
                </c:pt>
                <c:pt idx="100" formatCode="0.0">
                  <c:v>1.7</c:v>
                </c:pt>
                <c:pt idx="101" formatCode="0.0">
                  <c:v>5.0999999999999996</c:v>
                </c:pt>
                <c:pt idx="102" formatCode="0.0">
                  <c:v>4.2</c:v>
                </c:pt>
                <c:pt idx="103" formatCode="0.0">
                  <c:v>4.7</c:v>
                </c:pt>
                <c:pt idx="104" formatCode="0.0">
                  <c:v>4.0999999999999996</c:v>
                </c:pt>
                <c:pt idx="105" formatCode="0.0">
                  <c:v>3.6</c:v>
                </c:pt>
                <c:pt idx="106" formatCode="0.0">
                  <c:v>4.5</c:v>
                </c:pt>
                <c:pt idx="107" formatCode="0.0">
                  <c:v>7.2</c:v>
                </c:pt>
                <c:pt idx="108" formatCode="0.0">
                  <c:v>9.1999999999999993</c:v>
                </c:pt>
                <c:pt idx="109" formatCode="0.0">
                  <c:v>9.6</c:v>
                </c:pt>
                <c:pt idx="110">
                  <c:v>7.1</c:v>
                </c:pt>
                <c:pt idx="111">
                  <c:v>5.2</c:v>
                </c:pt>
                <c:pt idx="112">
                  <c:v>6</c:v>
                </c:pt>
                <c:pt idx="113">
                  <c:v>6.1</c:v>
                </c:pt>
                <c:pt idx="114">
                  <c:v>5.0999999999999996</c:v>
                </c:pt>
                <c:pt idx="115">
                  <c:v>1.6</c:v>
                </c:pt>
                <c:pt idx="116">
                  <c:v>1</c:v>
                </c:pt>
                <c:pt idx="117">
                  <c:v>1.7</c:v>
                </c:pt>
                <c:pt idx="118">
                  <c:v>1.3</c:v>
                </c:pt>
                <c:pt idx="119">
                  <c:v>5.0999999999999996</c:v>
                </c:pt>
                <c:pt idx="120">
                  <c:v>2.5</c:v>
                </c:pt>
                <c:pt idx="121">
                  <c:v>6.3</c:v>
                </c:pt>
                <c:pt idx="122">
                  <c:v>1.6</c:v>
                </c:pt>
                <c:pt idx="123">
                  <c:v>1.5</c:v>
                </c:pt>
                <c:pt idx="124">
                  <c:v>4.7</c:v>
                </c:pt>
                <c:pt idx="125">
                  <c:v>1.1000000000000001</c:v>
                </c:pt>
                <c:pt idx="126">
                  <c:v>1.5</c:v>
                </c:pt>
                <c:pt idx="127">
                  <c:v>1.1000000000000001</c:v>
                </c:pt>
                <c:pt idx="128">
                  <c:v>1</c:v>
                </c:pt>
                <c:pt idx="129">
                  <c:v>0.8</c:v>
                </c:pt>
                <c:pt idx="130">
                  <c:v>1.1000000000000001</c:v>
                </c:pt>
                <c:pt idx="131">
                  <c:v>6.4</c:v>
                </c:pt>
                <c:pt idx="132">
                  <c:v>2.9</c:v>
                </c:pt>
                <c:pt idx="133">
                  <c:v>6.7</c:v>
                </c:pt>
                <c:pt idx="134">
                  <c:v>1.7</c:v>
                </c:pt>
                <c:pt idx="135">
                  <c:v>2</c:v>
                </c:pt>
                <c:pt idx="136">
                  <c:v>2.5</c:v>
                </c:pt>
                <c:pt idx="137">
                  <c:v>3</c:v>
                </c:pt>
                <c:pt idx="138">
                  <c:v>3.5</c:v>
                </c:pt>
                <c:pt idx="139">
                  <c:v>2.8</c:v>
                </c:pt>
                <c:pt idx="140">
                  <c:v>3.6</c:v>
                </c:pt>
                <c:pt idx="141">
                  <c:v>2.7</c:v>
                </c:pt>
                <c:pt idx="142">
                  <c:v>1.9</c:v>
                </c:pt>
                <c:pt idx="143">
                  <c:v>1.8</c:v>
                </c:pt>
                <c:pt idx="144">
                  <c:v>1.7</c:v>
                </c:pt>
                <c:pt idx="145">
                  <c:v>1.9</c:v>
                </c:pt>
                <c:pt idx="146">
                  <c:v>1.6</c:v>
                </c:pt>
                <c:pt idx="147">
                  <c:v>3</c:v>
                </c:pt>
                <c:pt idx="148">
                  <c:v>2.6</c:v>
                </c:pt>
                <c:pt idx="149">
                  <c:v>3.7</c:v>
                </c:pt>
                <c:pt idx="150">
                  <c:v>3.2</c:v>
                </c:pt>
                <c:pt idx="151">
                  <c:v>1.8</c:v>
                </c:pt>
                <c:pt idx="152">
                  <c:v>2.8</c:v>
                </c:pt>
                <c:pt idx="153">
                  <c:v>2.8</c:v>
                </c:pt>
                <c:pt idx="154">
                  <c:v>3.1</c:v>
                </c:pt>
                <c:pt idx="155">
                  <c:v>3.1</c:v>
                </c:pt>
                <c:pt idx="156">
                  <c:v>2.4</c:v>
                </c:pt>
                <c:pt idx="157">
                  <c:v>3.4</c:v>
                </c:pt>
                <c:pt idx="158">
                  <c:v>2.7</c:v>
                </c:pt>
                <c:pt idx="159">
                  <c:v>3.9</c:v>
                </c:pt>
                <c:pt idx="160">
                  <c:v>4.8</c:v>
                </c:pt>
                <c:pt idx="161">
                  <c:v>1.7</c:v>
                </c:pt>
                <c:pt idx="162">
                  <c:v>2</c:v>
                </c:pt>
                <c:pt idx="163">
                  <c:v>2.7</c:v>
                </c:pt>
                <c:pt idx="164">
                  <c:v>1.4</c:v>
                </c:pt>
                <c:pt idx="165">
                  <c:v>0.9</c:v>
                </c:pt>
                <c:pt idx="166">
                  <c:v>0.7</c:v>
                </c:pt>
                <c:pt idx="167">
                  <c:v>0.3</c:v>
                </c:pt>
                <c:pt idx="168">
                  <c:v>0.4</c:v>
                </c:pt>
                <c:pt idx="169">
                  <c:v>0.3</c:v>
                </c:pt>
                <c:pt idx="170">
                  <c:v>0.3</c:v>
                </c:pt>
                <c:pt idx="171">
                  <c:v>0.5</c:v>
                </c:pt>
                <c:pt idx="172">
                  <c:v>0.8</c:v>
                </c:pt>
                <c:pt idx="173">
                  <c:v>0.7</c:v>
                </c:pt>
                <c:pt idx="174">
                  <c:v>0.6</c:v>
                </c:pt>
                <c:pt idx="175">
                  <c:v>0.4</c:v>
                </c:pt>
                <c:pt idx="176">
                  <c:v>0.5</c:v>
                </c:pt>
                <c:pt idx="177">
                  <c:v>0.4</c:v>
                </c:pt>
                <c:pt idx="178">
                  <c:v>0.4</c:v>
                </c:pt>
                <c:pt idx="179">
                  <c:v>0.2</c:v>
                </c:pt>
                <c:pt idx="180">
                  <c:v>0.3</c:v>
                </c:pt>
                <c:pt idx="181">
                  <c:v>0.4</c:v>
                </c:pt>
                <c:pt idx="182">
                  <c:v>0.9</c:v>
                </c:pt>
                <c:pt idx="183">
                  <c:v>1.4</c:v>
                </c:pt>
                <c:pt idx="184">
                  <c:v>2.4</c:v>
                </c:pt>
                <c:pt idx="185">
                  <c:v>1.1000000000000001</c:v>
                </c:pt>
                <c:pt idx="186">
                  <c:v>1.3</c:v>
                </c:pt>
                <c:pt idx="187">
                  <c:v>1.5</c:v>
                </c:pt>
                <c:pt idx="188">
                  <c:v>1.9</c:v>
                </c:pt>
                <c:pt idx="189" formatCode="0.0">
                  <c:v>2</c:v>
                </c:pt>
                <c:pt idx="190" formatCode="0.0">
                  <c:v>2</c:v>
                </c:pt>
                <c:pt idx="191">
                  <c:v>1.9</c:v>
                </c:pt>
                <c:pt idx="192">
                  <c:v>1.7</c:v>
                </c:pt>
                <c:pt idx="193">
                  <c:v>1.7</c:v>
                </c:pt>
                <c:pt idx="194">
                  <c:v>3.2</c:v>
                </c:pt>
                <c:pt idx="195">
                  <c:v>2.2000000000000002</c:v>
                </c:pt>
                <c:pt idx="196">
                  <c:v>3.4</c:v>
                </c:pt>
                <c:pt idx="197">
                  <c:v>3.6</c:v>
                </c:pt>
              </c:numCache>
            </c:numRef>
          </c:val>
          <c:smooth val="0"/>
          <c:extLst>
            <c:ext xmlns:c16="http://schemas.microsoft.com/office/drawing/2014/chart" uri="{C3380CC4-5D6E-409C-BE32-E72D297353CC}">
              <c16:uniqueId val="{00000001-0526-4B9F-A7A5-E5D205EF1A6C}"/>
            </c:ext>
          </c:extLst>
        </c:ser>
        <c:ser>
          <c:idx val="2"/>
          <c:order val="2"/>
          <c:tx>
            <c:strRef>
              <c:f>'Regional NSW'!$A$28</c:f>
              <c:strCache>
                <c:ptCount val="1"/>
                <c:pt idx="0">
                  <c:v>Demand Supply Balance</c:v>
                </c:pt>
              </c:strCache>
            </c:strRef>
          </c:tx>
          <c:spPr>
            <a:ln w="28575" cap="rnd">
              <a:solidFill>
                <a:srgbClr val="FF33CC"/>
              </a:solidFill>
              <a:round/>
            </a:ln>
            <a:effectLst/>
          </c:spPr>
          <c:marker>
            <c:symbol val="none"/>
          </c:marker>
          <c:cat>
            <c:numRef>
              <c:f>'Regional NSW'!$B$25:$GQ$25</c:f>
              <c:numCache>
                <c:formatCode>mmm\-yy</c:formatCode>
                <c:ptCount val="198"/>
                <c:pt idx="0">
                  <c:v>38991</c:v>
                </c:pt>
                <c:pt idx="1">
                  <c:v>39022</c:v>
                </c:pt>
                <c:pt idx="2">
                  <c:v>39052</c:v>
                </c:pt>
                <c:pt idx="3">
                  <c:v>39083</c:v>
                </c:pt>
                <c:pt idx="4">
                  <c:v>39114</c:v>
                </c:pt>
                <c:pt idx="5">
                  <c:v>39142</c:v>
                </c:pt>
                <c:pt idx="6">
                  <c:v>39173</c:v>
                </c:pt>
                <c:pt idx="7">
                  <c:v>39203</c:v>
                </c:pt>
                <c:pt idx="8">
                  <c:v>39234</c:v>
                </c:pt>
                <c:pt idx="9">
                  <c:v>39264</c:v>
                </c:pt>
                <c:pt idx="10">
                  <c:v>39295</c:v>
                </c:pt>
                <c:pt idx="11">
                  <c:v>39326</c:v>
                </c:pt>
                <c:pt idx="12">
                  <c:v>39356</c:v>
                </c:pt>
                <c:pt idx="13">
                  <c:v>39387</c:v>
                </c:pt>
                <c:pt idx="14">
                  <c:v>39448</c:v>
                </c:pt>
                <c:pt idx="15">
                  <c:v>39479</c:v>
                </c:pt>
                <c:pt idx="16">
                  <c:v>39508</c:v>
                </c:pt>
                <c:pt idx="17">
                  <c:v>39539</c:v>
                </c:pt>
                <c:pt idx="18">
                  <c:v>39569</c:v>
                </c:pt>
                <c:pt idx="19">
                  <c:v>39600</c:v>
                </c:pt>
                <c:pt idx="20">
                  <c:v>39630</c:v>
                </c:pt>
                <c:pt idx="21">
                  <c:v>39661</c:v>
                </c:pt>
                <c:pt idx="22">
                  <c:v>39692</c:v>
                </c:pt>
                <c:pt idx="23">
                  <c:v>39722</c:v>
                </c:pt>
                <c:pt idx="24">
                  <c:v>39753</c:v>
                </c:pt>
                <c:pt idx="25">
                  <c:v>39783</c:v>
                </c:pt>
                <c:pt idx="26">
                  <c:v>39814</c:v>
                </c:pt>
                <c:pt idx="27">
                  <c:v>39845</c:v>
                </c:pt>
                <c:pt idx="28">
                  <c:v>39873</c:v>
                </c:pt>
                <c:pt idx="29">
                  <c:v>39904</c:v>
                </c:pt>
                <c:pt idx="30">
                  <c:v>39934</c:v>
                </c:pt>
                <c:pt idx="31">
                  <c:v>39965</c:v>
                </c:pt>
                <c:pt idx="32">
                  <c:v>39995</c:v>
                </c:pt>
                <c:pt idx="33">
                  <c:v>40026</c:v>
                </c:pt>
                <c:pt idx="34">
                  <c:v>40057</c:v>
                </c:pt>
                <c:pt idx="35">
                  <c:v>40087</c:v>
                </c:pt>
                <c:pt idx="36">
                  <c:v>40118</c:v>
                </c:pt>
                <c:pt idx="37">
                  <c:v>40148</c:v>
                </c:pt>
                <c:pt idx="38">
                  <c:v>40179</c:v>
                </c:pt>
                <c:pt idx="39">
                  <c:v>40210</c:v>
                </c:pt>
                <c:pt idx="40">
                  <c:v>40238</c:v>
                </c:pt>
                <c:pt idx="41">
                  <c:v>40269</c:v>
                </c:pt>
                <c:pt idx="42">
                  <c:v>40299</c:v>
                </c:pt>
                <c:pt idx="43">
                  <c:v>40330</c:v>
                </c:pt>
                <c:pt idx="44">
                  <c:v>40360</c:v>
                </c:pt>
                <c:pt idx="45">
                  <c:v>40391</c:v>
                </c:pt>
                <c:pt idx="46">
                  <c:v>40422</c:v>
                </c:pt>
                <c:pt idx="47">
                  <c:v>40452</c:v>
                </c:pt>
                <c:pt idx="48">
                  <c:v>40483</c:v>
                </c:pt>
                <c:pt idx="49">
                  <c:v>40513</c:v>
                </c:pt>
                <c:pt idx="50">
                  <c:v>40544</c:v>
                </c:pt>
                <c:pt idx="51">
                  <c:v>40575</c:v>
                </c:pt>
                <c:pt idx="52">
                  <c:v>40603</c:v>
                </c:pt>
                <c:pt idx="53">
                  <c:v>40634</c:v>
                </c:pt>
                <c:pt idx="54">
                  <c:v>40664</c:v>
                </c:pt>
                <c:pt idx="55">
                  <c:v>40695</c:v>
                </c:pt>
                <c:pt idx="56">
                  <c:v>40725</c:v>
                </c:pt>
                <c:pt idx="57">
                  <c:v>40756</c:v>
                </c:pt>
                <c:pt idx="58">
                  <c:v>40787</c:v>
                </c:pt>
                <c:pt idx="59">
                  <c:v>40817</c:v>
                </c:pt>
                <c:pt idx="60">
                  <c:v>40848</c:v>
                </c:pt>
                <c:pt idx="61">
                  <c:v>40878</c:v>
                </c:pt>
                <c:pt idx="62">
                  <c:v>40909</c:v>
                </c:pt>
                <c:pt idx="63">
                  <c:v>40940</c:v>
                </c:pt>
                <c:pt idx="64">
                  <c:v>40969</c:v>
                </c:pt>
                <c:pt idx="65">
                  <c:v>41000</c:v>
                </c:pt>
                <c:pt idx="66">
                  <c:v>41030</c:v>
                </c:pt>
                <c:pt idx="67">
                  <c:v>41061</c:v>
                </c:pt>
                <c:pt idx="68">
                  <c:v>41091</c:v>
                </c:pt>
                <c:pt idx="69">
                  <c:v>41122</c:v>
                </c:pt>
                <c:pt idx="70">
                  <c:v>41153</c:v>
                </c:pt>
                <c:pt idx="71">
                  <c:v>41183</c:v>
                </c:pt>
                <c:pt idx="72">
                  <c:v>41214</c:v>
                </c:pt>
                <c:pt idx="73">
                  <c:v>41244</c:v>
                </c:pt>
                <c:pt idx="74">
                  <c:v>41275</c:v>
                </c:pt>
                <c:pt idx="75">
                  <c:v>41306</c:v>
                </c:pt>
                <c:pt idx="76">
                  <c:v>41334</c:v>
                </c:pt>
                <c:pt idx="77">
                  <c:v>41365</c:v>
                </c:pt>
                <c:pt idx="78">
                  <c:v>41395</c:v>
                </c:pt>
                <c:pt idx="79">
                  <c:v>41426</c:v>
                </c:pt>
                <c:pt idx="80">
                  <c:v>41456</c:v>
                </c:pt>
                <c:pt idx="81">
                  <c:v>41487</c:v>
                </c:pt>
                <c:pt idx="82">
                  <c:v>41518</c:v>
                </c:pt>
                <c:pt idx="83">
                  <c:v>41548</c:v>
                </c:pt>
                <c:pt idx="84">
                  <c:v>41579</c:v>
                </c:pt>
                <c:pt idx="85">
                  <c:v>41609</c:v>
                </c:pt>
                <c:pt idx="86">
                  <c:v>41640</c:v>
                </c:pt>
                <c:pt idx="87">
                  <c:v>41671</c:v>
                </c:pt>
                <c:pt idx="88">
                  <c:v>41699</c:v>
                </c:pt>
                <c:pt idx="89">
                  <c:v>41730</c:v>
                </c:pt>
                <c:pt idx="90">
                  <c:v>41760</c:v>
                </c:pt>
                <c:pt idx="91">
                  <c:v>41791</c:v>
                </c:pt>
                <c:pt idx="92">
                  <c:v>41821</c:v>
                </c:pt>
                <c:pt idx="93">
                  <c:v>41852</c:v>
                </c:pt>
                <c:pt idx="94">
                  <c:v>41883</c:v>
                </c:pt>
                <c:pt idx="95">
                  <c:v>41913</c:v>
                </c:pt>
                <c:pt idx="96">
                  <c:v>41944</c:v>
                </c:pt>
                <c:pt idx="97">
                  <c:v>41974</c:v>
                </c:pt>
                <c:pt idx="98">
                  <c:v>42005</c:v>
                </c:pt>
                <c:pt idx="99">
                  <c:v>42036</c:v>
                </c:pt>
                <c:pt idx="100">
                  <c:v>42064</c:v>
                </c:pt>
                <c:pt idx="101">
                  <c:v>42095</c:v>
                </c:pt>
                <c:pt idx="102">
                  <c:v>42125</c:v>
                </c:pt>
                <c:pt idx="103">
                  <c:v>42156</c:v>
                </c:pt>
                <c:pt idx="104">
                  <c:v>42186</c:v>
                </c:pt>
                <c:pt idx="105">
                  <c:v>42217</c:v>
                </c:pt>
                <c:pt idx="106">
                  <c:v>42248</c:v>
                </c:pt>
                <c:pt idx="107">
                  <c:v>42278</c:v>
                </c:pt>
                <c:pt idx="108">
                  <c:v>42309</c:v>
                </c:pt>
                <c:pt idx="109">
                  <c:v>42339</c:v>
                </c:pt>
                <c:pt idx="110">
                  <c:v>42370</c:v>
                </c:pt>
                <c:pt idx="111">
                  <c:v>42401</c:v>
                </c:pt>
                <c:pt idx="112">
                  <c:v>42430</c:v>
                </c:pt>
                <c:pt idx="113">
                  <c:v>42461</c:v>
                </c:pt>
                <c:pt idx="114">
                  <c:v>42491</c:v>
                </c:pt>
                <c:pt idx="115">
                  <c:v>42522</c:v>
                </c:pt>
                <c:pt idx="116">
                  <c:v>42552</c:v>
                </c:pt>
                <c:pt idx="117">
                  <c:v>42583</c:v>
                </c:pt>
                <c:pt idx="118">
                  <c:v>42614</c:v>
                </c:pt>
                <c:pt idx="119">
                  <c:v>42644</c:v>
                </c:pt>
                <c:pt idx="120">
                  <c:v>42675</c:v>
                </c:pt>
                <c:pt idx="121">
                  <c:v>42705</c:v>
                </c:pt>
                <c:pt idx="122">
                  <c:v>42736</c:v>
                </c:pt>
                <c:pt idx="123">
                  <c:v>42767</c:v>
                </c:pt>
                <c:pt idx="124">
                  <c:v>42795</c:v>
                </c:pt>
                <c:pt idx="125">
                  <c:v>42826</c:v>
                </c:pt>
                <c:pt idx="126">
                  <c:v>42856</c:v>
                </c:pt>
                <c:pt idx="127">
                  <c:v>42887</c:v>
                </c:pt>
                <c:pt idx="128">
                  <c:v>42917</c:v>
                </c:pt>
                <c:pt idx="129">
                  <c:v>42948</c:v>
                </c:pt>
                <c:pt idx="130">
                  <c:v>42979</c:v>
                </c:pt>
                <c:pt idx="131">
                  <c:v>43009</c:v>
                </c:pt>
                <c:pt idx="132">
                  <c:v>43040</c:v>
                </c:pt>
                <c:pt idx="133">
                  <c:v>43070</c:v>
                </c:pt>
                <c:pt idx="134">
                  <c:v>43101</c:v>
                </c:pt>
                <c:pt idx="135">
                  <c:v>43132</c:v>
                </c:pt>
                <c:pt idx="136">
                  <c:v>43160</c:v>
                </c:pt>
                <c:pt idx="137">
                  <c:v>43191</c:v>
                </c:pt>
                <c:pt idx="138">
                  <c:v>43221</c:v>
                </c:pt>
                <c:pt idx="139">
                  <c:v>43252</c:v>
                </c:pt>
                <c:pt idx="140">
                  <c:v>43282</c:v>
                </c:pt>
                <c:pt idx="141">
                  <c:v>43313</c:v>
                </c:pt>
                <c:pt idx="142">
                  <c:v>43344</c:v>
                </c:pt>
                <c:pt idx="143">
                  <c:v>43374</c:v>
                </c:pt>
                <c:pt idx="144">
                  <c:v>43405</c:v>
                </c:pt>
                <c:pt idx="145">
                  <c:v>43435</c:v>
                </c:pt>
                <c:pt idx="146">
                  <c:v>43466</c:v>
                </c:pt>
                <c:pt idx="147">
                  <c:v>43497</c:v>
                </c:pt>
                <c:pt idx="148">
                  <c:v>43525</c:v>
                </c:pt>
                <c:pt idx="149">
                  <c:v>43556</c:v>
                </c:pt>
                <c:pt idx="150">
                  <c:v>43586</c:v>
                </c:pt>
                <c:pt idx="151">
                  <c:v>43617</c:v>
                </c:pt>
                <c:pt idx="152">
                  <c:v>43647</c:v>
                </c:pt>
                <c:pt idx="153">
                  <c:v>43678</c:v>
                </c:pt>
                <c:pt idx="154">
                  <c:v>43709</c:v>
                </c:pt>
                <c:pt idx="155">
                  <c:v>43739</c:v>
                </c:pt>
                <c:pt idx="156">
                  <c:v>43770</c:v>
                </c:pt>
                <c:pt idx="157">
                  <c:v>43800</c:v>
                </c:pt>
                <c:pt idx="158">
                  <c:v>43831</c:v>
                </c:pt>
                <c:pt idx="159">
                  <c:v>43862</c:v>
                </c:pt>
                <c:pt idx="160">
                  <c:v>43891</c:v>
                </c:pt>
                <c:pt idx="161">
                  <c:v>43922</c:v>
                </c:pt>
                <c:pt idx="162">
                  <c:v>43952</c:v>
                </c:pt>
                <c:pt idx="163">
                  <c:v>43983</c:v>
                </c:pt>
                <c:pt idx="164">
                  <c:v>44013</c:v>
                </c:pt>
                <c:pt idx="165">
                  <c:v>44044</c:v>
                </c:pt>
                <c:pt idx="166">
                  <c:v>44075</c:v>
                </c:pt>
                <c:pt idx="167">
                  <c:v>44105</c:v>
                </c:pt>
                <c:pt idx="168">
                  <c:v>44136</c:v>
                </c:pt>
                <c:pt idx="169">
                  <c:v>44166</c:v>
                </c:pt>
                <c:pt idx="170">
                  <c:v>44197</c:v>
                </c:pt>
                <c:pt idx="171">
                  <c:v>44228</c:v>
                </c:pt>
                <c:pt idx="172">
                  <c:v>44256</c:v>
                </c:pt>
                <c:pt idx="173">
                  <c:v>44287</c:v>
                </c:pt>
                <c:pt idx="174">
                  <c:v>44317</c:v>
                </c:pt>
                <c:pt idx="175">
                  <c:v>44348</c:v>
                </c:pt>
                <c:pt idx="176">
                  <c:v>44378</c:v>
                </c:pt>
                <c:pt idx="177">
                  <c:v>44409</c:v>
                </c:pt>
                <c:pt idx="178">
                  <c:v>44440</c:v>
                </c:pt>
                <c:pt idx="179">
                  <c:v>44470</c:v>
                </c:pt>
                <c:pt idx="180">
                  <c:v>44501</c:v>
                </c:pt>
                <c:pt idx="181">
                  <c:v>44531</c:v>
                </c:pt>
                <c:pt idx="182">
                  <c:v>44562</c:v>
                </c:pt>
                <c:pt idx="183">
                  <c:v>44593</c:v>
                </c:pt>
                <c:pt idx="184">
                  <c:v>44621</c:v>
                </c:pt>
                <c:pt idx="185">
                  <c:v>44652</c:v>
                </c:pt>
                <c:pt idx="186">
                  <c:v>44682</c:v>
                </c:pt>
                <c:pt idx="187">
                  <c:v>44713</c:v>
                </c:pt>
                <c:pt idx="188">
                  <c:v>44743</c:v>
                </c:pt>
                <c:pt idx="189">
                  <c:v>44774</c:v>
                </c:pt>
                <c:pt idx="190">
                  <c:v>44805</c:v>
                </c:pt>
                <c:pt idx="191">
                  <c:v>44835</c:v>
                </c:pt>
                <c:pt idx="192">
                  <c:v>44866</c:v>
                </c:pt>
                <c:pt idx="193">
                  <c:v>44896</c:v>
                </c:pt>
                <c:pt idx="194">
                  <c:v>44927</c:v>
                </c:pt>
                <c:pt idx="195">
                  <c:v>44958</c:v>
                </c:pt>
                <c:pt idx="196">
                  <c:v>44986</c:v>
                </c:pt>
                <c:pt idx="197">
                  <c:v>45017</c:v>
                </c:pt>
              </c:numCache>
            </c:numRef>
          </c:cat>
          <c:val>
            <c:numRef>
              <c:f>'Regional NSW'!$B$28:$GQ$28</c:f>
              <c:numCache>
                <c:formatCode>General</c:formatCode>
                <c:ptCount val="198"/>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3</c:v>
                </c:pt>
                <c:pt idx="41">
                  <c:v>3</c:v>
                </c:pt>
                <c:pt idx="42">
                  <c:v>3</c:v>
                </c:pt>
                <c:pt idx="43">
                  <c:v>3</c:v>
                </c:pt>
                <c:pt idx="44">
                  <c:v>3</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3</c:v>
                </c:pt>
                <c:pt idx="76">
                  <c:v>3</c:v>
                </c:pt>
                <c:pt idx="77">
                  <c:v>3</c:v>
                </c:pt>
                <c:pt idx="78">
                  <c:v>3</c:v>
                </c:pt>
                <c:pt idx="79">
                  <c:v>3</c:v>
                </c:pt>
                <c:pt idx="80">
                  <c:v>3</c:v>
                </c:pt>
                <c:pt idx="81">
                  <c:v>3</c:v>
                </c:pt>
                <c:pt idx="82">
                  <c:v>3</c:v>
                </c:pt>
                <c:pt idx="83">
                  <c:v>3</c:v>
                </c:pt>
                <c:pt idx="84">
                  <c:v>3</c:v>
                </c:pt>
                <c:pt idx="85">
                  <c:v>3</c:v>
                </c:pt>
                <c:pt idx="86">
                  <c:v>3</c:v>
                </c:pt>
                <c:pt idx="87">
                  <c:v>3</c:v>
                </c:pt>
                <c:pt idx="88">
                  <c:v>3</c:v>
                </c:pt>
                <c:pt idx="89">
                  <c:v>3</c:v>
                </c:pt>
                <c:pt idx="90">
                  <c:v>3</c:v>
                </c:pt>
                <c:pt idx="91">
                  <c:v>3</c:v>
                </c:pt>
                <c:pt idx="92">
                  <c:v>3</c:v>
                </c:pt>
                <c:pt idx="93">
                  <c:v>3</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3</c:v>
                </c:pt>
                <c:pt idx="108">
                  <c:v>3</c:v>
                </c:pt>
                <c:pt idx="109">
                  <c:v>3</c:v>
                </c:pt>
                <c:pt idx="110">
                  <c:v>3</c:v>
                </c:pt>
                <c:pt idx="111">
                  <c:v>3</c:v>
                </c:pt>
                <c:pt idx="112">
                  <c:v>3</c:v>
                </c:pt>
                <c:pt idx="113">
                  <c:v>3</c:v>
                </c:pt>
                <c:pt idx="114">
                  <c:v>3</c:v>
                </c:pt>
                <c:pt idx="115">
                  <c:v>3</c:v>
                </c:pt>
                <c:pt idx="116">
                  <c:v>3</c:v>
                </c:pt>
                <c:pt idx="117">
                  <c:v>3</c:v>
                </c:pt>
                <c:pt idx="118">
                  <c:v>3</c:v>
                </c:pt>
                <c:pt idx="119">
                  <c:v>3</c:v>
                </c:pt>
                <c:pt idx="120">
                  <c:v>3</c:v>
                </c:pt>
                <c:pt idx="121">
                  <c:v>3</c:v>
                </c:pt>
                <c:pt idx="122">
                  <c:v>3</c:v>
                </c:pt>
                <c:pt idx="123">
                  <c:v>3</c:v>
                </c:pt>
                <c:pt idx="124">
                  <c:v>3</c:v>
                </c:pt>
                <c:pt idx="125">
                  <c:v>3</c:v>
                </c:pt>
                <c:pt idx="126">
                  <c:v>3</c:v>
                </c:pt>
                <c:pt idx="127">
                  <c:v>3</c:v>
                </c:pt>
                <c:pt idx="128">
                  <c:v>3</c:v>
                </c:pt>
                <c:pt idx="129">
                  <c:v>3</c:v>
                </c:pt>
                <c:pt idx="130">
                  <c:v>3</c:v>
                </c:pt>
                <c:pt idx="131">
                  <c:v>3</c:v>
                </c:pt>
                <c:pt idx="132">
                  <c:v>3</c:v>
                </c:pt>
                <c:pt idx="133">
                  <c:v>3</c:v>
                </c:pt>
                <c:pt idx="134">
                  <c:v>3</c:v>
                </c:pt>
                <c:pt idx="135">
                  <c:v>3</c:v>
                </c:pt>
                <c:pt idx="136">
                  <c:v>3</c:v>
                </c:pt>
                <c:pt idx="137" formatCode="0.00">
                  <c:v>3</c:v>
                </c:pt>
                <c:pt idx="138" formatCode="0.00">
                  <c:v>3</c:v>
                </c:pt>
                <c:pt idx="139" formatCode="0.00">
                  <c:v>3</c:v>
                </c:pt>
                <c:pt idx="140" formatCode="0.00">
                  <c:v>3</c:v>
                </c:pt>
                <c:pt idx="141" formatCode="0.00">
                  <c:v>3</c:v>
                </c:pt>
                <c:pt idx="142" formatCode="0.00">
                  <c:v>3</c:v>
                </c:pt>
                <c:pt idx="143" formatCode="0.00">
                  <c:v>3</c:v>
                </c:pt>
                <c:pt idx="144" formatCode="0.00">
                  <c:v>3</c:v>
                </c:pt>
                <c:pt idx="145" formatCode="0.00">
                  <c:v>3</c:v>
                </c:pt>
                <c:pt idx="146" formatCode="0.00">
                  <c:v>3</c:v>
                </c:pt>
                <c:pt idx="147" formatCode="0.00">
                  <c:v>3</c:v>
                </c:pt>
                <c:pt idx="148" formatCode="0.00">
                  <c:v>3</c:v>
                </c:pt>
                <c:pt idx="149" formatCode="0.00">
                  <c:v>3</c:v>
                </c:pt>
                <c:pt idx="150" formatCode="0.00">
                  <c:v>3</c:v>
                </c:pt>
                <c:pt idx="151" formatCode="0.00">
                  <c:v>3</c:v>
                </c:pt>
                <c:pt idx="152" formatCode="0.00">
                  <c:v>3</c:v>
                </c:pt>
                <c:pt idx="153" formatCode="0.00">
                  <c:v>3</c:v>
                </c:pt>
                <c:pt idx="154" formatCode="0.00">
                  <c:v>3</c:v>
                </c:pt>
                <c:pt idx="155" formatCode="0.00">
                  <c:v>3</c:v>
                </c:pt>
                <c:pt idx="156" formatCode="0.00">
                  <c:v>3</c:v>
                </c:pt>
                <c:pt idx="157" formatCode="0.00">
                  <c:v>3</c:v>
                </c:pt>
                <c:pt idx="158" formatCode="0.00">
                  <c:v>3</c:v>
                </c:pt>
                <c:pt idx="159" formatCode="0.00">
                  <c:v>3</c:v>
                </c:pt>
                <c:pt idx="160" formatCode="0.00">
                  <c:v>3</c:v>
                </c:pt>
                <c:pt idx="161" formatCode="0.00">
                  <c:v>3</c:v>
                </c:pt>
                <c:pt idx="162" formatCode="0.00">
                  <c:v>3</c:v>
                </c:pt>
                <c:pt idx="163" formatCode="0.00">
                  <c:v>3</c:v>
                </c:pt>
                <c:pt idx="164" formatCode="0.00">
                  <c:v>3</c:v>
                </c:pt>
                <c:pt idx="165" formatCode="0.00">
                  <c:v>3</c:v>
                </c:pt>
                <c:pt idx="166" formatCode="0.00">
                  <c:v>3</c:v>
                </c:pt>
                <c:pt idx="167" formatCode="0.00">
                  <c:v>3</c:v>
                </c:pt>
                <c:pt idx="168" formatCode="0.00">
                  <c:v>3</c:v>
                </c:pt>
                <c:pt idx="169" formatCode="0.00">
                  <c:v>3</c:v>
                </c:pt>
                <c:pt idx="170" formatCode="0.00">
                  <c:v>3</c:v>
                </c:pt>
                <c:pt idx="171" formatCode="0.00">
                  <c:v>3</c:v>
                </c:pt>
                <c:pt idx="172" formatCode="0.00">
                  <c:v>3</c:v>
                </c:pt>
                <c:pt idx="173" formatCode="0.00">
                  <c:v>3</c:v>
                </c:pt>
                <c:pt idx="174" formatCode="0.00">
                  <c:v>3</c:v>
                </c:pt>
                <c:pt idx="175" formatCode="0.00">
                  <c:v>3</c:v>
                </c:pt>
                <c:pt idx="176" formatCode="0.00">
                  <c:v>3</c:v>
                </c:pt>
                <c:pt idx="177" formatCode="0.00">
                  <c:v>3</c:v>
                </c:pt>
                <c:pt idx="178" formatCode="0.00">
                  <c:v>3</c:v>
                </c:pt>
                <c:pt idx="179" formatCode="0.00">
                  <c:v>3</c:v>
                </c:pt>
                <c:pt idx="180" formatCode="0.00">
                  <c:v>3</c:v>
                </c:pt>
                <c:pt idx="181" formatCode="0.00">
                  <c:v>3</c:v>
                </c:pt>
                <c:pt idx="182" formatCode="0.00">
                  <c:v>3</c:v>
                </c:pt>
                <c:pt idx="183" formatCode="0.00">
                  <c:v>3</c:v>
                </c:pt>
                <c:pt idx="184" formatCode="0.00">
                  <c:v>3</c:v>
                </c:pt>
                <c:pt idx="185" formatCode="0.00">
                  <c:v>3</c:v>
                </c:pt>
                <c:pt idx="186" formatCode="0.00">
                  <c:v>3</c:v>
                </c:pt>
                <c:pt idx="187" formatCode="0.00">
                  <c:v>3</c:v>
                </c:pt>
                <c:pt idx="188" formatCode="0.00">
                  <c:v>3</c:v>
                </c:pt>
                <c:pt idx="189" formatCode="0.00">
                  <c:v>3</c:v>
                </c:pt>
                <c:pt idx="190" formatCode="0.00">
                  <c:v>3</c:v>
                </c:pt>
                <c:pt idx="191" formatCode="0.00">
                  <c:v>3</c:v>
                </c:pt>
                <c:pt idx="192" formatCode="0.00">
                  <c:v>3</c:v>
                </c:pt>
                <c:pt idx="193" formatCode="0.00">
                  <c:v>3</c:v>
                </c:pt>
                <c:pt idx="194" formatCode="0.00">
                  <c:v>3</c:v>
                </c:pt>
                <c:pt idx="195" formatCode="0.00">
                  <c:v>3</c:v>
                </c:pt>
                <c:pt idx="196" formatCode="0.00">
                  <c:v>3</c:v>
                </c:pt>
                <c:pt idx="197" formatCode="0.00">
                  <c:v>3</c:v>
                </c:pt>
              </c:numCache>
            </c:numRef>
          </c:val>
          <c:smooth val="0"/>
          <c:extLst>
            <c:ext xmlns:c16="http://schemas.microsoft.com/office/drawing/2014/chart" uri="{C3380CC4-5D6E-409C-BE32-E72D297353CC}">
              <c16:uniqueId val="{00000002-0526-4B9F-A7A5-E5D205EF1A6C}"/>
            </c:ext>
          </c:extLst>
        </c:ser>
        <c:dLbls>
          <c:showLegendKey val="0"/>
          <c:showVal val="0"/>
          <c:showCatName val="0"/>
          <c:showSerName val="0"/>
          <c:showPercent val="0"/>
          <c:showBubbleSize val="0"/>
        </c:dLbls>
        <c:smooth val="0"/>
        <c:axId val="476234672"/>
        <c:axId val="476229752"/>
      </c:lineChart>
      <c:dateAx>
        <c:axId val="4762346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229752"/>
        <c:crosses val="autoZero"/>
        <c:auto val="1"/>
        <c:lblOffset val="100"/>
        <c:baseTimeUnit val="months"/>
      </c:dateAx>
      <c:valAx>
        <c:axId val="476229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23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Compare change in total number of CRA recipients before and after Covid</a:t>
            </a:r>
            <a:r>
              <a:rPr lang="en-US" b="1" baseline="0"/>
              <a:t> - </a:t>
            </a:r>
            <a:r>
              <a:rPr lang="en-US" b="1"/>
              <a:t>Illawarra Shoalhaven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'Rental stress'!$P$28</c:f>
              <c:strCache>
                <c:ptCount val="1"/>
                <c:pt idx="0">
                  <c:v>Illawarra Shoalhaven</c:v>
                </c:pt>
              </c:strCache>
            </c:strRef>
          </c:tx>
          <c:spPr>
            <a:solidFill>
              <a:srgbClr val="53FF53"/>
            </a:solidFill>
            <a:ln>
              <a:noFill/>
            </a:ln>
            <a:effectLst/>
          </c:spPr>
          <c:invertIfNegative val="0"/>
          <c:cat>
            <c:strRef>
              <c:f>'Rental stress'!$Q$27:$S$27</c:f>
              <c:strCache>
                <c:ptCount val="3"/>
                <c:pt idx="0">
                  <c:v>Change in total CRA recipients 2016 to 2020</c:v>
                </c:pt>
                <c:pt idx="1">
                  <c:v>Change in total CRA recipients 2016 to 2021</c:v>
                </c:pt>
                <c:pt idx="2">
                  <c:v>Change in total CRA recipients 2020 to 2021</c:v>
                </c:pt>
              </c:strCache>
            </c:strRef>
          </c:cat>
          <c:val>
            <c:numRef>
              <c:f>'Rental stress'!$Q$28:$S$28</c:f>
              <c:numCache>
                <c:formatCode>General</c:formatCode>
                <c:ptCount val="3"/>
                <c:pt idx="0">
                  <c:v>5479</c:v>
                </c:pt>
                <c:pt idx="1">
                  <c:v>1867</c:v>
                </c:pt>
                <c:pt idx="2">
                  <c:v>-3612</c:v>
                </c:pt>
              </c:numCache>
            </c:numRef>
          </c:val>
          <c:extLst>
            <c:ext xmlns:c16="http://schemas.microsoft.com/office/drawing/2014/chart" uri="{C3380CC4-5D6E-409C-BE32-E72D297353CC}">
              <c16:uniqueId val="{00000000-E69F-4CE2-AE0B-337ABB278A72}"/>
            </c:ext>
          </c:extLst>
        </c:ser>
        <c:dLbls>
          <c:showLegendKey val="0"/>
          <c:showVal val="0"/>
          <c:showCatName val="0"/>
          <c:showSerName val="0"/>
          <c:showPercent val="0"/>
          <c:showBubbleSize val="0"/>
        </c:dLbls>
        <c:gapWidth val="182"/>
        <c:axId val="638941136"/>
        <c:axId val="638942120"/>
      </c:barChart>
      <c:catAx>
        <c:axId val="63894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38942120"/>
        <c:crosses val="autoZero"/>
        <c:auto val="1"/>
        <c:lblAlgn val="ctr"/>
        <c:lblOffset val="100"/>
        <c:noMultiLvlLbl val="0"/>
      </c:catAx>
      <c:valAx>
        <c:axId val="638942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94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8BAE-234F-4B44-960E-CAF0083C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423</TotalTime>
  <Pages>19</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23888</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Illawarra - What's happening in the housing market</dc:title>
  <dc:creator>Laura Yan Guo</dc:creator>
  <cp:lastModifiedBy>JOSHUA YOUKHANA</cp:lastModifiedBy>
  <cp:revision>68</cp:revision>
  <cp:lastPrinted>1900-12-31T14:00:00Z</cp:lastPrinted>
  <dcterms:created xsi:type="dcterms:W3CDTF">2022-12-06T22:23:00Z</dcterms:created>
  <dcterms:modified xsi:type="dcterms:W3CDTF">2023-09-13T00:29:00Z</dcterms:modified>
</cp:coreProperties>
</file>