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CC121" w14:textId="77777777" w:rsidR="00861D16" w:rsidRPr="00371613" w:rsidRDefault="00752A34" w:rsidP="00FE5FB2">
      <w:pPr>
        <w:pStyle w:val="Heading1"/>
      </w:pPr>
      <w:r w:rsidRPr="00371613">
        <w:t>Central City</w:t>
      </w:r>
      <w:r w:rsidR="00E76895" w:rsidRPr="00371613">
        <w:t xml:space="preserve"> District – </w:t>
      </w:r>
      <w:r w:rsidR="00DF3BFD" w:rsidRPr="00371613">
        <w:t xml:space="preserve">What’s happening </w:t>
      </w:r>
      <w:r w:rsidR="00573960" w:rsidRPr="00371613">
        <w:t>with Supply and is it a good match</w:t>
      </w:r>
    </w:p>
    <w:p w14:paraId="0908D985" w14:textId="77777777" w:rsidR="00371613" w:rsidRDefault="00371613" w:rsidP="00371613">
      <w:pPr>
        <w:rPr>
          <w:sz w:val="22"/>
          <w:szCs w:val="22"/>
        </w:rPr>
      </w:pPr>
      <w:r>
        <w:rPr>
          <w:sz w:val="22"/>
          <w:szCs w:val="22"/>
        </w:rPr>
        <w:t>This Housing Snapshot looks at dwelling type, bedroom mix, tenure, social housing supply and the gaps between demand and supply, with a focus on lower income households.</w:t>
      </w:r>
    </w:p>
    <w:p w14:paraId="338D6AF4" w14:textId="77777777" w:rsidR="00371613" w:rsidRDefault="00371613" w:rsidP="00371613">
      <w:pPr>
        <w:rPr>
          <w:sz w:val="22"/>
          <w:szCs w:val="22"/>
        </w:rPr>
      </w:pPr>
      <w:r>
        <w:rPr>
          <w:sz w:val="22"/>
          <w:szCs w:val="22"/>
        </w:rPr>
        <w:t>There have been significant changes in Central City since the 2016 Census and further developments impacting housing supply since the 2021 Census.</w:t>
      </w:r>
    </w:p>
    <w:p w14:paraId="534CEFDA" w14:textId="77777777" w:rsidR="00371613" w:rsidRPr="004D7321" w:rsidRDefault="00371613" w:rsidP="00371613">
      <w:pPr>
        <w:rPr>
          <w:sz w:val="22"/>
          <w:szCs w:val="22"/>
        </w:rPr>
      </w:pPr>
      <w:r>
        <w:rPr>
          <w:sz w:val="22"/>
          <w:szCs w:val="22"/>
        </w:rPr>
        <w:t>The Australian Bureau of Statistics reported that across Australia for January 2023,</w:t>
      </w:r>
      <w:r w:rsidRPr="0046033F">
        <w:t xml:space="preserve"> </w:t>
      </w:r>
      <w:r w:rsidRPr="0046033F">
        <w:rPr>
          <w:sz w:val="22"/>
          <w:szCs w:val="22"/>
        </w:rPr>
        <w:t>"</w:t>
      </w:r>
      <w:r>
        <w:rPr>
          <w:sz w:val="22"/>
          <w:szCs w:val="22"/>
        </w:rPr>
        <w:t>a</w:t>
      </w:r>
      <w:r w:rsidRPr="0046033F">
        <w:rPr>
          <w:sz w:val="22"/>
          <w:szCs w:val="22"/>
        </w:rPr>
        <w:t>pprovals for private sector houses fell by 13.8 per cent, the fifth consecutive drop, to be the lowest result recorded since June 2012".</w:t>
      </w:r>
      <w:r>
        <w:rPr>
          <w:sz w:val="22"/>
          <w:szCs w:val="22"/>
        </w:rPr>
        <w:t xml:space="preserve">  Further, </w:t>
      </w:r>
      <w:r w:rsidRPr="0046033F">
        <w:rPr>
          <w:sz w:val="22"/>
          <w:szCs w:val="22"/>
        </w:rPr>
        <w:t xml:space="preserve">total dwelling approvals decreased in New South Wales </w:t>
      </w:r>
      <w:r>
        <w:rPr>
          <w:sz w:val="22"/>
          <w:szCs w:val="22"/>
        </w:rPr>
        <w:t xml:space="preserve">by </w:t>
      </w:r>
      <w:r w:rsidRPr="0046033F">
        <w:rPr>
          <w:sz w:val="22"/>
          <w:szCs w:val="22"/>
        </w:rPr>
        <w:t>-49.0 per cent</w:t>
      </w:r>
      <w:r>
        <w:rPr>
          <w:sz w:val="22"/>
          <w:szCs w:val="22"/>
        </w:rPr>
        <w:t xml:space="preserve">.  </w:t>
      </w:r>
    </w:p>
    <w:p w14:paraId="499A5689" w14:textId="77777777" w:rsidR="00371613" w:rsidRPr="00E95E98" w:rsidRDefault="00371613" w:rsidP="00371613">
      <w:pPr>
        <w:rPr>
          <w:sz w:val="22"/>
          <w:szCs w:val="22"/>
        </w:rPr>
      </w:pPr>
      <w:r>
        <w:rPr>
          <w:sz w:val="22"/>
          <w:szCs w:val="22"/>
        </w:rPr>
        <w:t>At a time when immigration is surging and there is strong demand for housing, there is a critical shortage of private rental accommodation as well as a skills shortage in the building sector. This suggests that it is likely to be some time before supply pressures ease.</w:t>
      </w:r>
    </w:p>
    <w:p w14:paraId="40F6A587" w14:textId="77777777" w:rsidR="00AE3BF7" w:rsidRDefault="00AE3BF7" w:rsidP="00DB6FF6">
      <w:pPr>
        <w:rPr>
          <w:sz w:val="22"/>
          <w:highlight w:val="yellow"/>
        </w:rPr>
      </w:pPr>
    </w:p>
    <w:p w14:paraId="51390B20" w14:textId="77777777" w:rsidR="00AE3BF7" w:rsidRPr="001E2A53" w:rsidRDefault="00AE3BF7" w:rsidP="00DB6FF6">
      <w:pPr>
        <w:rPr>
          <w:sz w:val="22"/>
          <w:highlight w:val="yellow"/>
        </w:rPr>
      </w:pPr>
    </w:p>
    <w:p w14:paraId="146CB7B9" w14:textId="77777777" w:rsidR="00DF3BFD" w:rsidRPr="00AE3BF7" w:rsidRDefault="00573960" w:rsidP="00DF3BFD">
      <w:pPr>
        <w:pStyle w:val="Heading2"/>
      </w:pPr>
      <w:r w:rsidRPr="00AE3BF7">
        <w:t>Dwelling Type</w:t>
      </w:r>
    </w:p>
    <w:p w14:paraId="29D0F9AB" w14:textId="77777777" w:rsidR="00AE3BF7" w:rsidRDefault="00AE3BF7" w:rsidP="007744E4">
      <w:pPr>
        <w:pStyle w:val="ListParagraph"/>
        <w:numPr>
          <w:ilvl w:val="0"/>
          <w:numId w:val="10"/>
        </w:numPr>
        <w:rPr>
          <w:sz w:val="22"/>
          <w:szCs w:val="22"/>
        </w:rPr>
      </w:pPr>
      <w:r>
        <w:rPr>
          <w:sz w:val="22"/>
          <w:szCs w:val="22"/>
        </w:rPr>
        <w:t xml:space="preserve">At the 2021 Census there were </w:t>
      </w:r>
      <w:r w:rsidR="00381A66">
        <w:rPr>
          <w:sz w:val="22"/>
          <w:szCs w:val="22"/>
        </w:rPr>
        <w:t>371,098</w:t>
      </w:r>
      <w:r>
        <w:rPr>
          <w:sz w:val="22"/>
          <w:szCs w:val="22"/>
        </w:rPr>
        <w:t xml:space="preserve"> dwellings in Central</w:t>
      </w:r>
      <w:r w:rsidR="00381A66">
        <w:rPr>
          <w:sz w:val="22"/>
          <w:szCs w:val="22"/>
        </w:rPr>
        <w:t xml:space="preserve"> City</w:t>
      </w:r>
      <w:r>
        <w:rPr>
          <w:sz w:val="22"/>
          <w:szCs w:val="22"/>
        </w:rPr>
        <w:t xml:space="preserve">, up from </w:t>
      </w:r>
      <w:r w:rsidR="00381A66">
        <w:rPr>
          <w:sz w:val="22"/>
          <w:szCs w:val="22"/>
        </w:rPr>
        <w:t>306,807</w:t>
      </w:r>
      <w:r>
        <w:rPr>
          <w:sz w:val="22"/>
          <w:szCs w:val="22"/>
        </w:rPr>
        <w:t xml:space="preserve"> in 2016.  </w:t>
      </w:r>
    </w:p>
    <w:p w14:paraId="5106D735" w14:textId="77777777" w:rsidR="00AE3BF7" w:rsidRDefault="00AE3BF7" w:rsidP="007744E4">
      <w:pPr>
        <w:pStyle w:val="ListParagraph"/>
        <w:numPr>
          <w:ilvl w:val="0"/>
          <w:numId w:val="10"/>
        </w:numPr>
        <w:rPr>
          <w:sz w:val="22"/>
          <w:szCs w:val="22"/>
        </w:rPr>
      </w:pPr>
      <w:r>
        <w:rPr>
          <w:sz w:val="22"/>
          <w:szCs w:val="22"/>
        </w:rPr>
        <w:t>Of these 9</w:t>
      </w:r>
      <w:r w:rsidR="00381A66">
        <w:rPr>
          <w:sz w:val="22"/>
          <w:szCs w:val="22"/>
        </w:rPr>
        <w:t>2.9</w:t>
      </w:r>
      <w:r>
        <w:rPr>
          <w:sz w:val="22"/>
          <w:szCs w:val="22"/>
        </w:rPr>
        <w:t xml:space="preserve">% were occupied, (up </w:t>
      </w:r>
      <w:r w:rsidR="00381A66">
        <w:rPr>
          <w:sz w:val="22"/>
          <w:szCs w:val="22"/>
        </w:rPr>
        <w:t xml:space="preserve">slightly </w:t>
      </w:r>
      <w:r>
        <w:rPr>
          <w:sz w:val="22"/>
          <w:szCs w:val="22"/>
        </w:rPr>
        <w:t xml:space="preserve">from </w:t>
      </w:r>
      <w:r w:rsidR="00381A66">
        <w:rPr>
          <w:sz w:val="22"/>
          <w:szCs w:val="22"/>
        </w:rPr>
        <w:t>92.4</w:t>
      </w:r>
      <w:r>
        <w:rPr>
          <w:sz w:val="22"/>
          <w:szCs w:val="22"/>
        </w:rPr>
        <w:t xml:space="preserve">% in 2016), above the </w:t>
      </w:r>
      <w:r w:rsidR="00381A66">
        <w:rPr>
          <w:sz w:val="22"/>
          <w:szCs w:val="22"/>
        </w:rPr>
        <w:t>92.0</w:t>
      </w:r>
      <w:r>
        <w:rPr>
          <w:sz w:val="22"/>
          <w:szCs w:val="22"/>
        </w:rPr>
        <w:t>% average percentage occupied in Greater Sydney.</w:t>
      </w:r>
    </w:p>
    <w:p w14:paraId="0E7AEE0A" w14:textId="77777777" w:rsidR="00AE3BF7" w:rsidRDefault="00AE3BF7" w:rsidP="007744E4">
      <w:pPr>
        <w:pStyle w:val="ListParagraph"/>
        <w:numPr>
          <w:ilvl w:val="0"/>
          <w:numId w:val="11"/>
        </w:numPr>
        <w:rPr>
          <w:sz w:val="22"/>
          <w:szCs w:val="22"/>
        </w:rPr>
      </w:pPr>
      <w:r>
        <w:rPr>
          <w:sz w:val="22"/>
          <w:szCs w:val="22"/>
        </w:rPr>
        <w:t xml:space="preserve">Consequently </w:t>
      </w:r>
      <w:r w:rsidR="00381A66">
        <w:rPr>
          <w:sz w:val="22"/>
          <w:szCs w:val="22"/>
        </w:rPr>
        <w:t>7.1</w:t>
      </w:r>
      <w:r>
        <w:rPr>
          <w:sz w:val="22"/>
          <w:szCs w:val="22"/>
        </w:rPr>
        <w:t xml:space="preserve">% were unoccupied (down from </w:t>
      </w:r>
      <w:r w:rsidR="00381A66">
        <w:rPr>
          <w:sz w:val="22"/>
          <w:szCs w:val="22"/>
        </w:rPr>
        <w:t>7.6</w:t>
      </w:r>
      <w:r>
        <w:rPr>
          <w:sz w:val="22"/>
          <w:szCs w:val="22"/>
        </w:rPr>
        <w:t>% in 2016) and compared to 8.0% in Greater Sydney.</w:t>
      </w:r>
    </w:p>
    <w:p w14:paraId="1D0AAAAF" w14:textId="77777777" w:rsidR="00AE3BF7" w:rsidRPr="00094F5A" w:rsidRDefault="00AE3BF7" w:rsidP="007744E4">
      <w:pPr>
        <w:pStyle w:val="ListParagraph"/>
        <w:numPr>
          <w:ilvl w:val="0"/>
          <w:numId w:val="11"/>
        </w:numPr>
        <w:rPr>
          <w:sz w:val="22"/>
          <w:szCs w:val="22"/>
        </w:rPr>
      </w:pPr>
      <w:r>
        <w:rPr>
          <w:sz w:val="22"/>
          <w:szCs w:val="22"/>
        </w:rPr>
        <w:t>The reasons homes are unoccupied vary and include (according to a report by the Australian Housing and Urban Research Institute “</w:t>
      </w:r>
      <w:r w:rsidRPr="00094F5A">
        <w:rPr>
          <w:rFonts w:cs="Arial"/>
          <w:color w:val="000000"/>
          <w:sz w:val="22"/>
          <w:szCs w:val="22"/>
        </w:rPr>
        <w:t>Are there 1 million empty homes and 13 million unused bedrooms?</w:t>
      </w:r>
      <w:r>
        <w:rPr>
          <w:rFonts w:cs="Arial"/>
          <w:color w:val="000000"/>
          <w:sz w:val="22"/>
          <w:szCs w:val="22"/>
        </w:rPr>
        <w:t>”):</w:t>
      </w:r>
    </w:p>
    <w:p w14:paraId="3D42C621" w14:textId="77777777" w:rsidR="00AE3BF7" w:rsidRPr="00094F5A" w:rsidRDefault="00AE3BF7" w:rsidP="007744E4">
      <w:pPr>
        <w:numPr>
          <w:ilvl w:val="1"/>
          <w:numId w:val="11"/>
        </w:numPr>
        <w:shd w:val="clear" w:color="auto" w:fill="FFFFFF"/>
        <w:spacing w:before="0" w:after="0"/>
        <w:textAlignment w:val="baseline"/>
        <w:rPr>
          <w:rFonts w:cs="Arial"/>
          <w:color w:val="000000"/>
          <w:sz w:val="22"/>
          <w:szCs w:val="22"/>
        </w:rPr>
      </w:pPr>
      <w:r w:rsidRPr="00094F5A">
        <w:rPr>
          <w:rFonts w:cs="Arial"/>
          <w:color w:val="000000"/>
          <w:sz w:val="22"/>
          <w:szCs w:val="22"/>
        </w:rPr>
        <w:t>homes are being renovated</w:t>
      </w:r>
    </w:p>
    <w:p w14:paraId="45B7AF90" w14:textId="77777777" w:rsidR="00AE3BF7" w:rsidRPr="00094F5A" w:rsidRDefault="00AE3BF7" w:rsidP="007744E4">
      <w:pPr>
        <w:numPr>
          <w:ilvl w:val="1"/>
          <w:numId w:val="11"/>
        </w:numPr>
        <w:shd w:val="clear" w:color="auto" w:fill="FFFFFF"/>
        <w:spacing w:before="0" w:after="0"/>
        <w:textAlignment w:val="baseline"/>
        <w:rPr>
          <w:rFonts w:cs="Arial"/>
          <w:color w:val="000000"/>
          <w:sz w:val="22"/>
          <w:szCs w:val="22"/>
        </w:rPr>
      </w:pPr>
      <w:r w:rsidRPr="00094F5A">
        <w:rPr>
          <w:rFonts w:cs="Arial"/>
          <w:color w:val="000000"/>
          <w:sz w:val="22"/>
          <w:szCs w:val="22"/>
        </w:rPr>
        <w:t>homes being sold as vacant possession</w:t>
      </w:r>
    </w:p>
    <w:p w14:paraId="32D6FD68" w14:textId="77777777" w:rsidR="00AE3BF7" w:rsidRPr="00094F5A" w:rsidRDefault="00AE3BF7" w:rsidP="007744E4">
      <w:pPr>
        <w:numPr>
          <w:ilvl w:val="1"/>
          <w:numId w:val="11"/>
        </w:numPr>
        <w:shd w:val="clear" w:color="auto" w:fill="FFFFFF"/>
        <w:spacing w:before="0" w:after="0"/>
        <w:textAlignment w:val="baseline"/>
        <w:rPr>
          <w:rFonts w:cs="Arial"/>
          <w:color w:val="000000"/>
          <w:sz w:val="22"/>
          <w:szCs w:val="22"/>
        </w:rPr>
      </w:pPr>
      <w:r w:rsidRPr="00094F5A">
        <w:rPr>
          <w:rFonts w:cs="Arial"/>
          <w:color w:val="000000"/>
          <w:sz w:val="22"/>
          <w:szCs w:val="22"/>
        </w:rPr>
        <w:t>newly built or bought homes where no one has moved in yet</w:t>
      </w:r>
    </w:p>
    <w:p w14:paraId="7CC44D4D" w14:textId="77777777" w:rsidR="00AE3BF7" w:rsidRPr="00094F5A" w:rsidRDefault="00AE3BF7" w:rsidP="007744E4">
      <w:pPr>
        <w:numPr>
          <w:ilvl w:val="1"/>
          <w:numId w:val="11"/>
        </w:numPr>
        <w:shd w:val="clear" w:color="auto" w:fill="FFFFFF"/>
        <w:spacing w:before="0" w:after="0"/>
        <w:textAlignment w:val="baseline"/>
        <w:rPr>
          <w:rFonts w:cs="Arial"/>
          <w:color w:val="000000"/>
          <w:sz w:val="22"/>
          <w:szCs w:val="22"/>
        </w:rPr>
      </w:pPr>
      <w:r w:rsidRPr="00094F5A">
        <w:rPr>
          <w:rFonts w:cs="Arial"/>
          <w:color w:val="000000"/>
          <w:sz w:val="22"/>
          <w:szCs w:val="22"/>
        </w:rPr>
        <w:t>rental homes awaiting new tenants</w:t>
      </w:r>
    </w:p>
    <w:p w14:paraId="11D690F7" w14:textId="77777777" w:rsidR="00AE3BF7" w:rsidRPr="00094F5A" w:rsidRDefault="00AE3BF7" w:rsidP="007744E4">
      <w:pPr>
        <w:numPr>
          <w:ilvl w:val="1"/>
          <w:numId w:val="11"/>
        </w:numPr>
        <w:shd w:val="clear" w:color="auto" w:fill="FFFFFF"/>
        <w:spacing w:before="0" w:after="0"/>
        <w:textAlignment w:val="baseline"/>
        <w:rPr>
          <w:rFonts w:cs="Arial"/>
          <w:color w:val="000000"/>
          <w:sz w:val="22"/>
          <w:szCs w:val="22"/>
        </w:rPr>
      </w:pPr>
      <w:r w:rsidRPr="00094F5A">
        <w:rPr>
          <w:rFonts w:cs="Arial"/>
          <w:color w:val="000000"/>
          <w:sz w:val="22"/>
          <w:szCs w:val="22"/>
        </w:rPr>
        <w:t>people living away temporarily from home during the census count (travelling or visiting other homes)</w:t>
      </w:r>
    </w:p>
    <w:p w14:paraId="6F840F4C" w14:textId="77777777" w:rsidR="00AE3BF7" w:rsidRPr="00094F5A" w:rsidRDefault="00AE3BF7" w:rsidP="007744E4">
      <w:pPr>
        <w:numPr>
          <w:ilvl w:val="1"/>
          <w:numId w:val="11"/>
        </w:numPr>
        <w:shd w:val="clear" w:color="auto" w:fill="FFFFFF"/>
        <w:spacing w:before="0" w:after="0"/>
        <w:textAlignment w:val="baseline"/>
        <w:rPr>
          <w:rFonts w:cs="Arial"/>
          <w:color w:val="000000"/>
          <w:sz w:val="22"/>
          <w:szCs w:val="22"/>
        </w:rPr>
      </w:pPr>
      <w:r w:rsidRPr="00094F5A">
        <w:rPr>
          <w:rFonts w:cs="Arial"/>
          <w:color w:val="000000"/>
          <w:sz w:val="22"/>
          <w:szCs w:val="22"/>
        </w:rPr>
        <w:t>homes are deemed unliveable</w:t>
      </w:r>
    </w:p>
    <w:p w14:paraId="384BBFF6" w14:textId="77777777" w:rsidR="00AE3BF7" w:rsidRPr="00094F5A" w:rsidRDefault="00AE3BF7" w:rsidP="007744E4">
      <w:pPr>
        <w:numPr>
          <w:ilvl w:val="1"/>
          <w:numId w:val="11"/>
        </w:numPr>
        <w:shd w:val="clear" w:color="auto" w:fill="FFFFFF"/>
        <w:spacing w:before="0" w:after="0"/>
        <w:textAlignment w:val="baseline"/>
        <w:rPr>
          <w:rFonts w:cs="Arial"/>
          <w:color w:val="000000"/>
          <w:sz w:val="22"/>
          <w:szCs w:val="22"/>
        </w:rPr>
      </w:pPr>
      <w:r w:rsidRPr="00094F5A">
        <w:rPr>
          <w:rFonts w:cs="Arial"/>
          <w:color w:val="000000"/>
          <w:sz w:val="22"/>
          <w:szCs w:val="22"/>
        </w:rPr>
        <w:t>subject to a probate application or other legal proceedings</w:t>
      </w:r>
    </w:p>
    <w:p w14:paraId="4D1002D4" w14:textId="77777777" w:rsidR="00AE3BF7" w:rsidRPr="00094F5A" w:rsidRDefault="00AE3BF7" w:rsidP="007744E4">
      <w:pPr>
        <w:numPr>
          <w:ilvl w:val="1"/>
          <w:numId w:val="11"/>
        </w:numPr>
        <w:shd w:val="clear" w:color="auto" w:fill="FFFFFF"/>
        <w:spacing w:before="0" w:after="0"/>
        <w:textAlignment w:val="baseline"/>
        <w:rPr>
          <w:rFonts w:cs="Arial"/>
          <w:color w:val="000000"/>
          <w:sz w:val="22"/>
          <w:szCs w:val="22"/>
        </w:rPr>
      </w:pPr>
      <w:r w:rsidRPr="00094F5A">
        <w:rPr>
          <w:rFonts w:cs="Arial"/>
          <w:color w:val="000000"/>
          <w:sz w:val="22"/>
          <w:szCs w:val="22"/>
        </w:rPr>
        <w:t>holiday homes</w:t>
      </w:r>
    </w:p>
    <w:p w14:paraId="7A495D46" w14:textId="77777777" w:rsidR="00AE3BF7" w:rsidRPr="00094F5A" w:rsidRDefault="00AE3BF7" w:rsidP="007744E4">
      <w:pPr>
        <w:numPr>
          <w:ilvl w:val="1"/>
          <w:numId w:val="11"/>
        </w:numPr>
        <w:shd w:val="clear" w:color="auto" w:fill="FFFFFF"/>
        <w:spacing w:before="0" w:after="0"/>
        <w:textAlignment w:val="baseline"/>
        <w:rPr>
          <w:rFonts w:cs="Arial"/>
          <w:color w:val="000000"/>
          <w:sz w:val="22"/>
          <w:szCs w:val="22"/>
        </w:rPr>
      </w:pPr>
      <w:r w:rsidRPr="00094F5A">
        <w:rPr>
          <w:rFonts w:cs="Arial"/>
          <w:color w:val="000000"/>
          <w:sz w:val="22"/>
          <w:szCs w:val="22"/>
        </w:rPr>
        <w:t>homes owned by people currently living overseas</w:t>
      </w:r>
    </w:p>
    <w:p w14:paraId="6B8C3399" w14:textId="77777777" w:rsidR="00AE3BF7" w:rsidRDefault="00AE3BF7" w:rsidP="007744E4">
      <w:pPr>
        <w:numPr>
          <w:ilvl w:val="1"/>
          <w:numId w:val="11"/>
        </w:numPr>
        <w:shd w:val="clear" w:color="auto" w:fill="FFFFFF"/>
        <w:spacing w:before="0" w:after="0"/>
        <w:textAlignment w:val="baseline"/>
        <w:rPr>
          <w:rFonts w:cs="Arial"/>
          <w:color w:val="000000"/>
          <w:sz w:val="22"/>
          <w:szCs w:val="22"/>
        </w:rPr>
      </w:pPr>
      <w:r w:rsidRPr="00094F5A">
        <w:rPr>
          <w:rFonts w:cs="Arial"/>
          <w:color w:val="000000"/>
          <w:sz w:val="22"/>
          <w:szCs w:val="22"/>
        </w:rPr>
        <w:t>homes being land banked, that is held vacant until the local area economics (or personal circumstances) make it more profitable to sell or redevelop the property.</w:t>
      </w:r>
    </w:p>
    <w:p w14:paraId="7CA46772" w14:textId="77777777" w:rsidR="00AE3BF7" w:rsidRDefault="00AE3BF7" w:rsidP="007744E4">
      <w:pPr>
        <w:pStyle w:val="ListParagraph"/>
        <w:numPr>
          <w:ilvl w:val="0"/>
          <w:numId w:val="11"/>
        </w:numPr>
        <w:rPr>
          <w:sz w:val="22"/>
          <w:szCs w:val="22"/>
        </w:rPr>
      </w:pPr>
      <w:r>
        <w:rPr>
          <w:sz w:val="22"/>
          <w:szCs w:val="22"/>
        </w:rPr>
        <w:lastRenderedPageBreak/>
        <w:t xml:space="preserve">The graph below shows the proportion of occupied </w:t>
      </w:r>
      <w:r w:rsidR="007744E4">
        <w:rPr>
          <w:sz w:val="22"/>
          <w:szCs w:val="22"/>
        </w:rPr>
        <w:t xml:space="preserve">and unoccupied dwellings in Central City and </w:t>
      </w:r>
      <w:r>
        <w:rPr>
          <w:sz w:val="22"/>
          <w:szCs w:val="22"/>
        </w:rPr>
        <w:t>Greater Sydney at the 2021 Census.</w:t>
      </w:r>
    </w:p>
    <w:p w14:paraId="4A216BC9" w14:textId="77777777" w:rsidR="00AE3BF7" w:rsidRDefault="00AE3BF7" w:rsidP="00AE3BF7">
      <w:pPr>
        <w:rPr>
          <w:sz w:val="22"/>
          <w:szCs w:val="22"/>
        </w:rPr>
      </w:pPr>
      <w:r>
        <w:rPr>
          <w:noProof/>
          <w:sz w:val="22"/>
          <w:szCs w:val="22"/>
        </w:rPr>
        <w:drawing>
          <wp:inline distT="0" distB="0" distL="0" distR="0" wp14:anchorId="54063CAE" wp14:editId="0E52C617">
            <wp:extent cx="5852795" cy="3335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2795" cy="3335020"/>
                    </a:xfrm>
                    <a:prstGeom prst="rect">
                      <a:avLst/>
                    </a:prstGeom>
                    <a:noFill/>
                  </pic:spPr>
                </pic:pic>
              </a:graphicData>
            </a:graphic>
          </wp:inline>
        </w:drawing>
      </w:r>
    </w:p>
    <w:p w14:paraId="7F30E318" w14:textId="77777777" w:rsidR="00AE3BF7" w:rsidRDefault="00AE3BF7" w:rsidP="00AE3BF7">
      <w:pPr>
        <w:rPr>
          <w:sz w:val="22"/>
          <w:szCs w:val="22"/>
        </w:rPr>
      </w:pPr>
    </w:p>
    <w:p w14:paraId="11851133" w14:textId="77777777" w:rsidR="00AE3BF7" w:rsidRDefault="00AE3BF7" w:rsidP="007744E4">
      <w:pPr>
        <w:pStyle w:val="ListParagraph"/>
        <w:numPr>
          <w:ilvl w:val="0"/>
          <w:numId w:val="12"/>
        </w:numPr>
        <w:rPr>
          <w:rFonts w:cs="Arial"/>
          <w:color w:val="000000"/>
          <w:sz w:val="22"/>
          <w:szCs w:val="22"/>
          <w:shd w:val="clear" w:color="auto" w:fill="FFFFFF"/>
        </w:rPr>
      </w:pPr>
      <w:r w:rsidRPr="001C0168">
        <w:rPr>
          <w:rFonts w:cs="Arial"/>
          <w:color w:val="000000"/>
          <w:sz w:val="22"/>
          <w:szCs w:val="22"/>
          <w:shd w:val="clear" w:color="auto" w:fill="FFFFFF"/>
        </w:rPr>
        <w:t xml:space="preserve">At the 2021 Census, the majority of occupied dwellings in </w:t>
      </w:r>
      <w:r w:rsidR="008F19F5">
        <w:rPr>
          <w:rFonts w:cs="Arial"/>
          <w:color w:val="000000"/>
          <w:sz w:val="22"/>
          <w:szCs w:val="22"/>
          <w:shd w:val="clear" w:color="auto" w:fill="FFFFFF"/>
        </w:rPr>
        <w:t>Central City</w:t>
      </w:r>
      <w:r w:rsidRPr="001C0168">
        <w:rPr>
          <w:rFonts w:cs="Arial"/>
          <w:color w:val="000000"/>
          <w:sz w:val="22"/>
          <w:szCs w:val="22"/>
          <w:shd w:val="clear" w:color="auto" w:fill="FFFFFF"/>
        </w:rPr>
        <w:t xml:space="preserve"> were separate houses, comprising </w:t>
      </w:r>
      <w:r w:rsidR="008F19F5">
        <w:rPr>
          <w:rFonts w:cs="Arial"/>
          <w:color w:val="000000"/>
          <w:sz w:val="22"/>
          <w:szCs w:val="22"/>
          <w:shd w:val="clear" w:color="auto" w:fill="FFFFFF"/>
        </w:rPr>
        <w:t>63.8</w:t>
      </w:r>
      <w:r w:rsidRPr="001C0168">
        <w:rPr>
          <w:rFonts w:cs="Arial"/>
          <w:color w:val="000000"/>
          <w:sz w:val="22"/>
          <w:szCs w:val="22"/>
          <w:shd w:val="clear" w:color="auto" w:fill="FFFFFF"/>
        </w:rPr>
        <w:t xml:space="preserve">% of all occupied dwellings, </w:t>
      </w:r>
      <w:r w:rsidR="008F19F5">
        <w:rPr>
          <w:rFonts w:cs="Arial"/>
          <w:color w:val="000000"/>
          <w:sz w:val="22"/>
          <w:szCs w:val="22"/>
          <w:shd w:val="clear" w:color="auto" w:fill="FFFFFF"/>
        </w:rPr>
        <w:t xml:space="preserve">well above the average of </w:t>
      </w:r>
      <w:r w:rsidRPr="001C0168">
        <w:rPr>
          <w:rFonts w:cs="Arial"/>
          <w:color w:val="000000"/>
          <w:sz w:val="22"/>
          <w:szCs w:val="22"/>
          <w:shd w:val="clear" w:color="auto" w:fill="FFFFFF"/>
        </w:rPr>
        <w:t>55.4%</w:t>
      </w:r>
      <w:r w:rsidR="008F19F5">
        <w:rPr>
          <w:rFonts w:cs="Arial"/>
          <w:color w:val="000000"/>
          <w:sz w:val="22"/>
          <w:szCs w:val="22"/>
          <w:shd w:val="clear" w:color="auto" w:fill="FFFFFF"/>
        </w:rPr>
        <w:t xml:space="preserve"> for</w:t>
      </w:r>
      <w:r w:rsidRPr="001C0168">
        <w:rPr>
          <w:rFonts w:cs="Arial"/>
          <w:color w:val="000000"/>
          <w:sz w:val="22"/>
          <w:szCs w:val="22"/>
          <w:shd w:val="clear" w:color="auto" w:fill="FFFFFF"/>
        </w:rPr>
        <w:t xml:space="preserve"> Greater Sydney</w:t>
      </w:r>
      <w:r w:rsidR="008A3A41">
        <w:rPr>
          <w:rFonts w:cs="Arial"/>
          <w:color w:val="000000"/>
          <w:sz w:val="22"/>
          <w:szCs w:val="22"/>
          <w:shd w:val="clear" w:color="auto" w:fill="FFFFFF"/>
        </w:rPr>
        <w:t>.  However this is more diverse than in 2016 when 65.3% of homes in Central City were separate houses</w:t>
      </w:r>
      <w:r w:rsidRPr="001C0168">
        <w:rPr>
          <w:rFonts w:cs="Arial"/>
          <w:color w:val="000000"/>
          <w:sz w:val="22"/>
          <w:szCs w:val="22"/>
          <w:shd w:val="clear" w:color="auto" w:fill="FFFFFF"/>
        </w:rPr>
        <w:t xml:space="preserve">.  </w:t>
      </w:r>
      <w:r w:rsidR="002177B4">
        <w:rPr>
          <w:rFonts w:cs="Arial"/>
          <w:color w:val="000000"/>
          <w:sz w:val="22"/>
          <w:szCs w:val="22"/>
          <w:shd w:val="clear" w:color="auto" w:fill="FFFFFF"/>
        </w:rPr>
        <w:t>The proportion of separate houses in Central City ranged from 81.2% in The Hills Shire to 38.9% in Parramatta at the 2021 Census.</w:t>
      </w:r>
    </w:p>
    <w:p w14:paraId="38F18035" w14:textId="77777777" w:rsidR="00AE3BF7" w:rsidRPr="001C0168" w:rsidRDefault="00AE3BF7" w:rsidP="007744E4">
      <w:pPr>
        <w:pStyle w:val="ListParagraph"/>
        <w:numPr>
          <w:ilvl w:val="0"/>
          <w:numId w:val="12"/>
        </w:numPr>
        <w:rPr>
          <w:rFonts w:cs="Arial"/>
          <w:color w:val="000000"/>
          <w:sz w:val="22"/>
          <w:szCs w:val="22"/>
          <w:shd w:val="clear" w:color="auto" w:fill="FFFFFF"/>
        </w:rPr>
      </w:pPr>
      <w:r w:rsidRPr="001C0168">
        <w:rPr>
          <w:rFonts w:cs="Arial"/>
          <w:color w:val="000000"/>
          <w:sz w:val="22"/>
          <w:szCs w:val="22"/>
          <w:shd w:val="clear" w:color="auto" w:fill="FFFFFF"/>
        </w:rPr>
        <w:t xml:space="preserve">A further </w:t>
      </w:r>
      <w:r>
        <w:rPr>
          <w:rFonts w:cs="Arial"/>
          <w:color w:val="000000"/>
          <w:sz w:val="22"/>
          <w:szCs w:val="22"/>
          <w:shd w:val="clear" w:color="auto" w:fill="FFFFFF"/>
        </w:rPr>
        <w:t>12.</w:t>
      </w:r>
      <w:r w:rsidR="008A3A41">
        <w:rPr>
          <w:rFonts w:cs="Arial"/>
          <w:color w:val="000000"/>
          <w:sz w:val="22"/>
          <w:szCs w:val="22"/>
          <w:shd w:val="clear" w:color="auto" w:fill="FFFFFF"/>
        </w:rPr>
        <w:t>4</w:t>
      </w:r>
      <w:r w:rsidRPr="001C0168">
        <w:rPr>
          <w:rFonts w:cs="Arial"/>
          <w:color w:val="000000"/>
          <w:sz w:val="22"/>
          <w:szCs w:val="22"/>
          <w:shd w:val="clear" w:color="auto" w:fill="FFFFFF"/>
        </w:rPr>
        <w:t xml:space="preserve">% of occupied homes in </w:t>
      </w:r>
      <w:r w:rsidR="008A3A41">
        <w:rPr>
          <w:rFonts w:cs="Arial"/>
          <w:color w:val="000000"/>
          <w:sz w:val="22"/>
          <w:szCs w:val="22"/>
          <w:shd w:val="clear" w:color="auto" w:fill="FFFFFF"/>
        </w:rPr>
        <w:t>Central City</w:t>
      </w:r>
      <w:r w:rsidRPr="001C0168">
        <w:rPr>
          <w:rFonts w:cs="Arial"/>
          <w:color w:val="000000"/>
          <w:sz w:val="22"/>
          <w:szCs w:val="22"/>
          <w:shd w:val="clear" w:color="auto" w:fill="FFFFFF"/>
        </w:rPr>
        <w:t xml:space="preserve"> were semi-det</w:t>
      </w:r>
      <w:r>
        <w:rPr>
          <w:rFonts w:cs="Arial"/>
          <w:color w:val="000000"/>
          <w:sz w:val="22"/>
          <w:szCs w:val="22"/>
          <w:shd w:val="clear" w:color="auto" w:fill="FFFFFF"/>
        </w:rPr>
        <w:t>ached, terrace or town houses (</w:t>
      </w:r>
      <w:r w:rsidR="008A3A41">
        <w:rPr>
          <w:rFonts w:cs="Arial"/>
          <w:color w:val="000000"/>
          <w:sz w:val="22"/>
          <w:szCs w:val="22"/>
          <w:shd w:val="clear" w:color="auto" w:fill="FFFFFF"/>
        </w:rPr>
        <w:t>down</w:t>
      </w:r>
      <w:r>
        <w:rPr>
          <w:rFonts w:cs="Arial"/>
          <w:color w:val="000000"/>
          <w:sz w:val="22"/>
          <w:szCs w:val="22"/>
          <w:shd w:val="clear" w:color="auto" w:fill="FFFFFF"/>
        </w:rPr>
        <w:t xml:space="preserve"> from 1</w:t>
      </w:r>
      <w:r w:rsidR="008A3A41">
        <w:rPr>
          <w:rFonts w:cs="Arial"/>
          <w:color w:val="000000"/>
          <w:sz w:val="22"/>
          <w:szCs w:val="22"/>
          <w:shd w:val="clear" w:color="auto" w:fill="FFFFFF"/>
        </w:rPr>
        <w:t>5.2</w:t>
      </w:r>
      <w:r>
        <w:rPr>
          <w:rFonts w:cs="Arial"/>
          <w:color w:val="000000"/>
          <w:sz w:val="22"/>
          <w:szCs w:val="22"/>
          <w:shd w:val="clear" w:color="auto" w:fill="FFFFFF"/>
        </w:rPr>
        <w:t xml:space="preserve">% in 2016), </w:t>
      </w:r>
      <w:r w:rsidRPr="001C0168">
        <w:rPr>
          <w:rFonts w:cs="Arial"/>
          <w:color w:val="000000"/>
          <w:sz w:val="22"/>
          <w:szCs w:val="22"/>
          <w:shd w:val="clear" w:color="auto" w:fill="FFFFFF"/>
        </w:rPr>
        <w:t xml:space="preserve">compared to </w:t>
      </w:r>
      <w:r>
        <w:rPr>
          <w:rFonts w:cs="Arial"/>
          <w:color w:val="000000"/>
          <w:sz w:val="22"/>
          <w:szCs w:val="22"/>
          <w:shd w:val="clear" w:color="auto" w:fill="FFFFFF"/>
        </w:rPr>
        <w:t>31.0% in Greater Sydney</w:t>
      </w:r>
      <w:r w:rsidRPr="001C0168">
        <w:rPr>
          <w:rFonts w:cs="Arial"/>
          <w:color w:val="000000"/>
          <w:sz w:val="22"/>
          <w:szCs w:val="22"/>
          <w:shd w:val="clear" w:color="auto" w:fill="FFFFFF"/>
        </w:rPr>
        <w:t>.</w:t>
      </w:r>
      <w:r w:rsidR="002177B4">
        <w:rPr>
          <w:rFonts w:cs="Arial"/>
          <w:color w:val="000000"/>
          <w:sz w:val="22"/>
          <w:szCs w:val="22"/>
          <w:shd w:val="clear" w:color="auto" w:fill="FFFFFF"/>
        </w:rPr>
        <w:t xml:space="preserve">  The proportion of attached homes in Central City ranged from 15.1% in Cumberland to </w:t>
      </w:r>
      <w:r w:rsidR="00024108">
        <w:rPr>
          <w:rFonts w:cs="Arial"/>
          <w:color w:val="000000"/>
          <w:sz w:val="22"/>
          <w:szCs w:val="22"/>
          <w:shd w:val="clear" w:color="auto" w:fill="FFFFFF"/>
        </w:rPr>
        <w:t>8.9% in The Hills.</w:t>
      </w:r>
    </w:p>
    <w:p w14:paraId="23D05150" w14:textId="77777777" w:rsidR="00AE3BF7" w:rsidRDefault="008A3A41" w:rsidP="007744E4">
      <w:pPr>
        <w:pStyle w:val="ListParagraph"/>
        <w:numPr>
          <w:ilvl w:val="0"/>
          <w:numId w:val="12"/>
        </w:numPr>
        <w:rPr>
          <w:rFonts w:cs="Arial"/>
          <w:color w:val="000000"/>
          <w:sz w:val="22"/>
          <w:szCs w:val="22"/>
          <w:shd w:val="clear" w:color="auto" w:fill="FFFFFF"/>
        </w:rPr>
      </w:pPr>
      <w:r>
        <w:rPr>
          <w:rFonts w:cs="Arial"/>
          <w:color w:val="000000"/>
          <w:sz w:val="22"/>
          <w:szCs w:val="22"/>
          <w:shd w:val="clear" w:color="auto" w:fill="FFFFFF"/>
        </w:rPr>
        <w:t>23.4</w:t>
      </w:r>
      <w:r w:rsidR="00AE3BF7">
        <w:rPr>
          <w:rFonts w:cs="Arial"/>
          <w:color w:val="000000"/>
          <w:sz w:val="22"/>
          <w:szCs w:val="22"/>
          <w:shd w:val="clear" w:color="auto" w:fill="FFFFFF"/>
        </w:rPr>
        <w:t xml:space="preserve">% of occupied homes in </w:t>
      </w:r>
      <w:r>
        <w:rPr>
          <w:rFonts w:cs="Arial"/>
          <w:color w:val="000000"/>
          <w:sz w:val="22"/>
          <w:szCs w:val="22"/>
          <w:shd w:val="clear" w:color="auto" w:fill="FFFFFF"/>
        </w:rPr>
        <w:t>Central City</w:t>
      </w:r>
      <w:r w:rsidR="00AE3BF7">
        <w:rPr>
          <w:rFonts w:cs="Arial"/>
          <w:color w:val="000000"/>
          <w:sz w:val="22"/>
          <w:szCs w:val="22"/>
          <w:shd w:val="clear" w:color="auto" w:fill="FFFFFF"/>
        </w:rPr>
        <w:t xml:space="preserve"> were flats (up from </w:t>
      </w:r>
      <w:r>
        <w:rPr>
          <w:rFonts w:cs="Arial"/>
          <w:color w:val="000000"/>
          <w:sz w:val="22"/>
          <w:szCs w:val="22"/>
          <w:shd w:val="clear" w:color="auto" w:fill="FFFFFF"/>
        </w:rPr>
        <w:t>18.7</w:t>
      </w:r>
      <w:r w:rsidR="00AE3BF7">
        <w:rPr>
          <w:rFonts w:cs="Arial"/>
          <w:color w:val="000000"/>
          <w:sz w:val="22"/>
          <w:szCs w:val="22"/>
          <w:shd w:val="clear" w:color="auto" w:fill="FFFFFF"/>
        </w:rPr>
        <w:t>% in 2016), compared to 12.9% in Greater Sydney.</w:t>
      </w:r>
      <w:r w:rsidR="00024108">
        <w:rPr>
          <w:rFonts w:cs="Arial"/>
          <w:color w:val="000000"/>
          <w:sz w:val="22"/>
          <w:szCs w:val="22"/>
          <w:shd w:val="clear" w:color="auto" w:fill="FFFFFF"/>
        </w:rPr>
        <w:t xml:space="preserve">  The proportion of flats in Central City ranged from 47.3% in Parramatta to 6.7% in Blacktown.</w:t>
      </w:r>
    </w:p>
    <w:p w14:paraId="09CC3EA9" w14:textId="77777777" w:rsidR="00AE3BF7" w:rsidRDefault="00AE3BF7" w:rsidP="007744E4">
      <w:pPr>
        <w:pStyle w:val="ListParagraph"/>
        <w:numPr>
          <w:ilvl w:val="0"/>
          <w:numId w:val="12"/>
        </w:numPr>
        <w:rPr>
          <w:rFonts w:cs="Arial"/>
          <w:color w:val="000000"/>
          <w:sz w:val="22"/>
          <w:szCs w:val="22"/>
          <w:shd w:val="clear" w:color="auto" w:fill="FFFFFF"/>
        </w:rPr>
      </w:pPr>
      <w:r>
        <w:rPr>
          <w:rFonts w:cs="Arial"/>
          <w:color w:val="000000"/>
          <w:sz w:val="22"/>
          <w:szCs w:val="22"/>
          <w:shd w:val="clear" w:color="auto" w:fill="FFFFFF"/>
        </w:rPr>
        <w:t>While there has been a</w:t>
      </w:r>
      <w:r w:rsidR="00331D22">
        <w:rPr>
          <w:rFonts w:cs="Arial"/>
          <w:color w:val="000000"/>
          <w:sz w:val="22"/>
          <w:szCs w:val="22"/>
          <w:shd w:val="clear" w:color="auto" w:fill="FFFFFF"/>
        </w:rPr>
        <w:t xml:space="preserve"> significant</w:t>
      </w:r>
      <w:r>
        <w:rPr>
          <w:rFonts w:cs="Arial"/>
          <w:color w:val="000000"/>
          <w:sz w:val="22"/>
          <w:szCs w:val="22"/>
          <w:shd w:val="clear" w:color="auto" w:fill="FFFFFF"/>
        </w:rPr>
        <w:t xml:space="preserve"> increase in the proportion of flats in the </w:t>
      </w:r>
      <w:r w:rsidR="00145CE5">
        <w:rPr>
          <w:rFonts w:cs="Arial"/>
          <w:color w:val="000000"/>
          <w:sz w:val="22"/>
          <w:szCs w:val="22"/>
          <w:shd w:val="clear" w:color="auto" w:fill="FFFFFF"/>
        </w:rPr>
        <w:t>District</w:t>
      </w:r>
      <w:r>
        <w:rPr>
          <w:rFonts w:cs="Arial"/>
          <w:color w:val="000000"/>
          <w:sz w:val="22"/>
          <w:szCs w:val="22"/>
          <w:shd w:val="clear" w:color="auto" w:fill="FFFFFF"/>
        </w:rPr>
        <w:t>, the proportion of semi-detached, terrace and townhouses has declined</w:t>
      </w:r>
      <w:r w:rsidR="00145CE5">
        <w:rPr>
          <w:rFonts w:cs="Arial"/>
          <w:color w:val="000000"/>
          <w:sz w:val="22"/>
          <w:szCs w:val="22"/>
          <w:shd w:val="clear" w:color="auto" w:fill="FFFFFF"/>
        </w:rPr>
        <w:t>.  While Cumberland and Parramatta have housing mix in terms of dwelling types, Blacktown and The Hills do not</w:t>
      </w:r>
      <w:r>
        <w:rPr>
          <w:rFonts w:cs="Arial"/>
          <w:color w:val="000000"/>
          <w:sz w:val="22"/>
          <w:szCs w:val="22"/>
          <w:shd w:val="clear" w:color="auto" w:fill="FFFFFF"/>
        </w:rPr>
        <w:t xml:space="preserve"> and a greater diversity of housing is needed to suit different household types and age cohorts</w:t>
      </w:r>
      <w:r w:rsidR="00145CE5">
        <w:rPr>
          <w:rFonts w:cs="Arial"/>
          <w:color w:val="000000"/>
          <w:sz w:val="22"/>
          <w:szCs w:val="22"/>
          <w:shd w:val="clear" w:color="auto" w:fill="FFFFFF"/>
        </w:rPr>
        <w:t xml:space="preserve"> in those LGAs</w:t>
      </w:r>
      <w:r>
        <w:rPr>
          <w:rFonts w:cs="Arial"/>
          <w:color w:val="000000"/>
          <w:sz w:val="22"/>
          <w:szCs w:val="22"/>
          <w:shd w:val="clear" w:color="auto" w:fill="FFFFFF"/>
        </w:rPr>
        <w:t>.</w:t>
      </w:r>
      <w:r w:rsidR="00145CE5">
        <w:rPr>
          <w:rFonts w:cs="Arial"/>
          <w:color w:val="000000"/>
          <w:sz w:val="22"/>
          <w:szCs w:val="22"/>
          <w:shd w:val="clear" w:color="auto" w:fill="FFFFFF"/>
        </w:rPr>
        <w:t xml:space="preserve">  </w:t>
      </w:r>
    </w:p>
    <w:p w14:paraId="7B8C8FA4" w14:textId="77777777" w:rsidR="00AE3BF7" w:rsidRDefault="00AE3BF7" w:rsidP="007744E4">
      <w:pPr>
        <w:pStyle w:val="ListParagraph"/>
        <w:numPr>
          <w:ilvl w:val="0"/>
          <w:numId w:val="12"/>
        </w:numPr>
        <w:rPr>
          <w:rFonts w:cs="Arial"/>
          <w:color w:val="000000"/>
          <w:sz w:val="22"/>
          <w:szCs w:val="22"/>
          <w:shd w:val="clear" w:color="auto" w:fill="FFFFFF"/>
        </w:rPr>
      </w:pPr>
      <w:r>
        <w:rPr>
          <w:rFonts w:cs="Arial"/>
          <w:color w:val="000000"/>
          <w:sz w:val="22"/>
          <w:szCs w:val="22"/>
          <w:shd w:val="clear" w:color="auto" w:fill="FFFFFF"/>
        </w:rPr>
        <w:t xml:space="preserve">The graph and table below show the proportion of dwelling types for </w:t>
      </w:r>
      <w:r w:rsidR="00331D22">
        <w:rPr>
          <w:rFonts w:cs="Arial"/>
          <w:color w:val="000000"/>
          <w:sz w:val="22"/>
          <w:szCs w:val="22"/>
          <w:shd w:val="clear" w:color="auto" w:fill="FFFFFF"/>
        </w:rPr>
        <w:t>Central City</w:t>
      </w:r>
      <w:r>
        <w:rPr>
          <w:rFonts w:cs="Arial"/>
          <w:color w:val="000000"/>
          <w:sz w:val="22"/>
          <w:szCs w:val="22"/>
          <w:shd w:val="clear" w:color="auto" w:fill="FFFFFF"/>
        </w:rPr>
        <w:t xml:space="preserve"> at the 2021 Census.</w:t>
      </w:r>
    </w:p>
    <w:p w14:paraId="5A6F73E6" w14:textId="77777777" w:rsidR="00AE3BF7" w:rsidRDefault="00AE3BF7" w:rsidP="00AE3BF7">
      <w:pPr>
        <w:rPr>
          <w:sz w:val="22"/>
          <w:szCs w:val="22"/>
        </w:rPr>
      </w:pPr>
    </w:p>
    <w:p w14:paraId="00BE18FF" w14:textId="77777777" w:rsidR="00AE3BF7" w:rsidRDefault="00AE3BF7" w:rsidP="00AE3BF7">
      <w:pPr>
        <w:rPr>
          <w:sz w:val="22"/>
          <w:szCs w:val="22"/>
        </w:rPr>
      </w:pPr>
      <w:r>
        <w:rPr>
          <w:noProof/>
          <w:sz w:val="22"/>
          <w:szCs w:val="22"/>
        </w:rPr>
        <w:lastRenderedPageBreak/>
        <w:drawing>
          <wp:inline distT="0" distB="0" distL="0" distR="0" wp14:anchorId="188622E5" wp14:editId="6CF56A0E">
            <wp:extent cx="6153785" cy="3381804"/>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7270" cy="3383719"/>
                    </a:xfrm>
                    <a:prstGeom prst="rect">
                      <a:avLst/>
                    </a:prstGeom>
                    <a:noFill/>
                  </pic:spPr>
                </pic:pic>
              </a:graphicData>
            </a:graphic>
          </wp:inline>
        </w:drawing>
      </w:r>
    </w:p>
    <w:p w14:paraId="17D1AB55" w14:textId="77777777" w:rsidR="00AE3BF7" w:rsidRDefault="00AE3BF7" w:rsidP="00AE3BF7">
      <w:pPr>
        <w:rPr>
          <w:sz w:val="22"/>
          <w:szCs w:val="22"/>
        </w:rPr>
      </w:pPr>
    </w:p>
    <w:p w14:paraId="61A6944D" w14:textId="77777777" w:rsidR="00AE3BF7" w:rsidRDefault="00AE3BF7" w:rsidP="00AE3BF7">
      <w:pPr>
        <w:rPr>
          <w:sz w:val="22"/>
          <w:szCs w:val="22"/>
        </w:rPr>
      </w:pPr>
      <w:r w:rsidRPr="00AE3BF7">
        <w:rPr>
          <w:noProof/>
        </w:rPr>
        <w:drawing>
          <wp:inline distT="0" distB="0" distL="0" distR="0" wp14:anchorId="1DF28423" wp14:editId="7BC3FFAA">
            <wp:extent cx="5534025" cy="19145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4025" cy="1914525"/>
                    </a:xfrm>
                    <a:prstGeom prst="rect">
                      <a:avLst/>
                    </a:prstGeom>
                    <a:noFill/>
                    <a:ln>
                      <a:noFill/>
                    </a:ln>
                  </pic:spPr>
                </pic:pic>
              </a:graphicData>
            </a:graphic>
          </wp:inline>
        </w:drawing>
      </w:r>
    </w:p>
    <w:p w14:paraId="4E942AB2" w14:textId="77777777" w:rsidR="00AE3BF7" w:rsidRPr="00AE3BF7" w:rsidRDefault="00AE3BF7" w:rsidP="00AE3BF7">
      <w:pPr>
        <w:rPr>
          <w:sz w:val="22"/>
          <w:szCs w:val="22"/>
        </w:rPr>
      </w:pPr>
    </w:p>
    <w:p w14:paraId="2536D338" w14:textId="77777777" w:rsidR="00AE3BF7" w:rsidRDefault="0025248B" w:rsidP="007744E4">
      <w:pPr>
        <w:pStyle w:val="ListParagraph"/>
        <w:numPr>
          <w:ilvl w:val="0"/>
          <w:numId w:val="9"/>
        </w:numPr>
        <w:rPr>
          <w:sz w:val="22"/>
          <w:szCs w:val="22"/>
        </w:rPr>
      </w:pPr>
      <w:r>
        <w:rPr>
          <w:sz w:val="22"/>
          <w:szCs w:val="22"/>
        </w:rPr>
        <w:t xml:space="preserve">The graph below compares </w:t>
      </w:r>
      <w:r w:rsidR="00331D22">
        <w:rPr>
          <w:sz w:val="22"/>
          <w:szCs w:val="22"/>
        </w:rPr>
        <w:t xml:space="preserve">the proportion of </w:t>
      </w:r>
      <w:r>
        <w:rPr>
          <w:sz w:val="22"/>
          <w:szCs w:val="22"/>
        </w:rPr>
        <w:t>dwelling types in Central City with the average for Greater Sydney.</w:t>
      </w:r>
    </w:p>
    <w:p w14:paraId="4351DC0B" w14:textId="77777777" w:rsidR="0025248B" w:rsidRDefault="0025248B" w:rsidP="0025248B">
      <w:pPr>
        <w:rPr>
          <w:sz w:val="22"/>
          <w:szCs w:val="22"/>
        </w:rPr>
      </w:pPr>
    </w:p>
    <w:p w14:paraId="36735D86" w14:textId="77777777" w:rsidR="0025248B" w:rsidRDefault="0025248B" w:rsidP="0025248B">
      <w:pPr>
        <w:rPr>
          <w:sz w:val="22"/>
          <w:szCs w:val="22"/>
        </w:rPr>
      </w:pPr>
      <w:r>
        <w:rPr>
          <w:noProof/>
          <w:sz w:val="22"/>
          <w:szCs w:val="22"/>
        </w:rPr>
        <w:lastRenderedPageBreak/>
        <w:drawing>
          <wp:inline distT="0" distB="0" distL="0" distR="0" wp14:anchorId="29340B81" wp14:editId="4CAA1952">
            <wp:extent cx="5773420" cy="34931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3420" cy="3493135"/>
                    </a:xfrm>
                    <a:prstGeom prst="rect">
                      <a:avLst/>
                    </a:prstGeom>
                    <a:noFill/>
                  </pic:spPr>
                </pic:pic>
              </a:graphicData>
            </a:graphic>
          </wp:inline>
        </w:drawing>
      </w:r>
    </w:p>
    <w:p w14:paraId="02D7BB1F" w14:textId="77777777" w:rsidR="0025248B" w:rsidRPr="0025248B" w:rsidRDefault="0025248B" w:rsidP="0025248B">
      <w:pPr>
        <w:rPr>
          <w:sz w:val="22"/>
          <w:szCs w:val="22"/>
        </w:rPr>
      </w:pPr>
    </w:p>
    <w:p w14:paraId="293234C8" w14:textId="77777777" w:rsidR="0025248B" w:rsidRDefault="0025248B" w:rsidP="007744E4">
      <w:pPr>
        <w:pStyle w:val="ListParagraph"/>
        <w:numPr>
          <w:ilvl w:val="0"/>
          <w:numId w:val="12"/>
        </w:numPr>
        <w:rPr>
          <w:rFonts w:cs="Arial"/>
          <w:color w:val="000000"/>
          <w:sz w:val="22"/>
          <w:szCs w:val="22"/>
          <w:shd w:val="clear" w:color="auto" w:fill="FFFFFF"/>
        </w:rPr>
      </w:pPr>
      <w:r>
        <w:rPr>
          <w:rFonts w:cs="Arial"/>
          <w:color w:val="000000"/>
          <w:sz w:val="22"/>
          <w:szCs w:val="22"/>
          <w:shd w:val="clear" w:color="auto" w:fill="FFFFFF"/>
        </w:rPr>
        <w:t xml:space="preserve">Other types of dwellings comprised </w:t>
      </w:r>
      <w:r w:rsidR="00E4678F">
        <w:rPr>
          <w:rFonts w:cs="Arial"/>
          <w:color w:val="000000"/>
          <w:sz w:val="22"/>
          <w:szCs w:val="22"/>
          <w:shd w:val="clear" w:color="auto" w:fill="FFFFFF"/>
        </w:rPr>
        <w:t xml:space="preserve">just </w:t>
      </w:r>
      <w:r>
        <w:rPr>
          <w:rFonts w:cs="Arial"/>
          <w:color w:val="000000"/>
          <w:sz w:val="22"/>
          <w:szCs w:val="22"/>
          <w:shd w:val="clear" w:color="auto" w:fill="FFFFFF"/>
        </w:rPr>
        <w:t>0.</w:t>
      </w:r>
      <w:r w:rsidR="00E4678F">
        <w:rPr>
          <w:rFonts w:cs="Arial"/>
          <w:color w:val="000000"/>
          <w:sz w:val="22"/>
          <w:szCs w:val="22"/>
          <w:shd w:val="clear" w:color="auto" w:fill="FFFFFF"/>
        </w:rPr>
        <w:t>1</w:t>
      </w:r>
      <w:r>
        <w:rPr>
          <w:rFonts w:cs="Arial"/>
          <w:color w:val="000000"/>
          <w:sz w:val="22"/>
          <w:szCs w:val="22"/>
          <w:shd w:val="clear" w:color="auto" w:fill="FFFFFF"/>
        </w:rPr>
        <w:t>% of occupied dwellings in the region at the 2021 Census and include caravans, cabins, houseboats, improvised dwellings and flats attached to shops</w:t>
      </w:r>
      <w:r w:rsidR="00E4678F">
        <w:rPr>
          <w:rFonts w:cs="Arial"/>
          <w:color w:val="000000"/>
          <w:sz w:val="22"/>
          <w:szCs w:val="22"/>
          <w:shd w:val="clear" w:color="auto" w:fill="FFFFFF"/>
        </w:rPr>
        <w:t xml:space="preserve"> or offices</w:t>
      </w:r>
      <w:r>
        <w:rPr>
          <w:rFonts w:cs="Arial"/>
          <w:color w:val="000000"/>
          <w:sz w:val="22"/>
          <w:szCs w:val="22"/>
          <w:shd w:val="clear" w:color="auto" w:fill="FFFFFF"/>
        </w:rPr>
        <w:t xml:space="preserve">.  Census data shows </w:t>
      </w:r>
      <w:r w:rsidR="00E4678F">
        <w:rPr>
          <w:rFonts w:cs="Arial"/>
          <w:color w:val="000000"/>
          <w:sz w:val="22"/>
          <w:szCs w:val="22"/>
          <w:shd w:val="clear" w:color="auto" w:fill="FFFFFF"/>
        </w:rPr>
        <w:t>8</w:t>
      </w:r>
      <w:r>
        <w:rPr>
          <w:rFonts w:cs="Arial"/>
          <w:color w:val="000000"/>
          <w:sz w:val="22"/>
          <w:szCs w:val="22"/>
          <w:shd w:val="clear" w:color="auto" w:fill="FFFFFF"/>
        </w:rPr>
        <w:t xml:space="preserve"> households living in caravans, </w:t>
      </w:r>
      <w:r w:rsidR="00E4678F">
        <w:rPr>
          <w:rFonts w:cs="Arial"/>
          <w:color w:val="000000"/>
          <w:sz w:val="22"/>
          <w:szCs w:val="22"/>
          <w:shd w:val="clear" w:color="auto" w:fill="FFFFFF"/>
        </w:rPr>
        <w:t>5</w:t>
      </w:r>
      <w:r>
        <w:rPr>
          <w:rFonts w:cs="Arial"/>
          <w:color w:val="000000"/>
          <w:sz w:val="22"/>
          <w:szCs w:val="22"/>
          <w:shd w:val="clear" w:color="auto" w:fill="FFFFFF"/>
        </w:rPr>
        <w:t xml:space="preserve"> living in cabins or houseboats, </w:t>
      </w:r>
      <w:r w:rsidR="00E4678F">
        <w:rPr>
          <w:rFonts w:cs="Arial"/>
          <w:color w:val="000000"/>
          <w:sz w:val="22"/>
          <w:szCs w:val="22"/>
          <w:shd w:val="clear" w:color="auto" w:fill="FFFFFF"/>
        </w:rPr>
        <w:t>16</w:t>
      </w:r>
      <w:r>
        <w:rPr>
          <w:rFonts w:cs="Arial"/>
          <w:color w:val="000000"/>
          <w:sz w:val="22"/>
          <w:szCs w:val="22"/>
          <w:shd w:val="clear" w:color="auto" w:fill="FFFFFF"/>
        </w:rPr>
        <w:t xml:space="preserve"> living in improvised dwellings and </w:t>
      </w:r>
      <w:r w:rsidR="00E4678F">
        <w:rPr>
          <w:rFonts w:cs="Arial"/>
          <w:color w:val="000000"/>
          <w:sz w:val="22"/>
          <w:szCs w:val="22"/>
          <w:shd w:val="clear" w:color="auto" w:fill="FFFFFF"/>
        </w:rPr>
        <w:t>456</w:t>
      </w:r>
      <w:r>
        <w:rPr>
          <w:rFonts w:cs="Arial"/>
          <w:color w:val="000000"/>
          <w:sz w:val="22"/>
          <w:szCs w:val="22"/>
          <w:shd w:val="clear" w:color="auto" w:fill="FFFFFF"/>
        </w:rPr>
        <w:t xml:space="preserve"> in flats attached to shops</w:t>
      </w:r>
      <w:r w:rsidR="00E4678F">
        <w:rPr>
          <w:rFonts w:cs="Arial"/>
          <w:color w:val="000000"/>
          <w:sz w:val="22"/>
          <w:szCs w:val="22"/>
          <w:shd w:val="clear" w:color="auto" w:fill="FFFFFF"/>
        </w:rPr>
        <w:t xml:space="preserve"> or offices</w:t>
      </w:r>
      <w:r>
        <w:rPr>
          <w:rFonts w:cs="Arial"/>
          <w:color w:val="000000"/>
          <w:sz w:val="22"/>
          <w:szCs w:val="22"/>
          <w:shd w:val="clear" w:color="auto" w:fill="FFFFFF"/>
        </w:rPr>
        <w:t xml:space="preserve"> in the region.  </w:t>
      </w:r>
    </w:p>
    <w:p w14:paraId="061FB00F" w14:textId="77777777" w:rsidR="0025248B" w:rsidRDefault="0025248B" w:rsidP="007744E4">
      <w:pPr>
        <w:pStyle w:val="ListParagraph"/>
        <w:numPr>
          <w:ilvl w:val="0"/>
          <w:numId w:val="13"/>
        </w:numPr>
        <w:spacing w:before="0" w:after="0"/>
        <w:rPr>
          <w:sz w:val="22"/>
          <w:szCs w:val="22"/>
        </w:rPr>
      </w:pPr>
      <w:r w:rsidRPr="00F95C25">
        <w:rPr>
          <w:rFonts w:cs="Arial"/>
          <w:color w:val="000000"/>
          <w:sz w:val="22"/>
          <w:szCs w:val="22"/>
          <w:shd w:val="clear" w:color="auto" w:fill="FFFFFF"/>
        </w:rPr>
        <w:t xml:space="preserve">Note that at the 2021 Census there were </w:t>
      </w:r>
      <w:r w:rsidR="00E4678F">
        <w:rPr>
          <w:rFonts w:cs="Arial"/>
          <w:color w:val="000000"/>
          <w:sz w:val="22"/>
          <w:szCs w:val="22"/>
          <w:shd w:val="clear" w:color="auto" w:fill="FFFFFF"/>
        </w:rPr>
        <w:t>just 11</w:t>
      </w:r>
      <w:r w:rsidRPr="00F95C25">
        <w:rPr>
          <w:rFonts w:cs="Arial"/>
          <w:color w:val="000000"/>
          <w:sz w:val="22"/>
          <w:szCs w:val="22"/>
          <w:shd w:val="clear" w:color="auto" w:fill="FFFFFF"/>
        </w:rPr>
        <w:t xml:space="preserve"> household living in caravan, cabin/houseboat accommodation, down from </w:t>
      </w:r>
      <w:r w:rsidR="00E4678F">
        <w:rPr>
          <w:rFonts w:cs="Arial"/>
          <w:color w:val="000000"/>
          <w:sz w:val="22"/>
          <w:szCs w:val="22"/>
          <w:shd w:val="clear" w:color="auto" w:fill="FFFFFF"/>
        </w:rPr>
        <w:t>284</w:t>
      </w:r>
      <w:r w:rsidRPr="00F95C25">
        <w:rPr>
          <w:rFonts w:cs="Arial"/>
          <w:color w:val="000000"/>
          <w:sz w:val="22"/>
          <w:szCs w:val="22"/>
          <w:shd w:val="clear" w:color="auto" w:fill="FFFFFF"/>
        </w:rPr>
        <w:t xml:space="preserve"> in 2016.  </w:t>
      </w:r>
    </w:p>
    <w:p w14:paraId="08B1D9F0" w14:textId="77777777" w:rsidR="0025248B" w:rsidRDefault="0025248B" w:rsidP="007744E4">
      <w:pPr>
        <w:pStyle w:val="ListParagraph"/>
        <w:numPr>
          <w:ilvl w:val="0"/>
          <w:numId w:val="13"/>
        </w:numPr>
        <w:spacing w:before="0" w:after="0"/>
        <w:rPr>
          <w:sz w:val="22"/>
          <w:szCs w:val="22"/>
        </w:rPr>
      </w:pPr>
      <w:r>
        <w:rPr>
          <w:sz w:val="22"/>
          <w:szCs w:val="22"/>
        </w:rPr>
        <w:t>While people living in caravans are included in the homeless data in the Census, c</w:t>
      </w:r>
      <w:r w:rsidRPr="007F59AF">
        <w:rPr>
          <w:sz w:val="22"/>
          <w:szCs w:val="22"/>
        </w:rPr>
        <w:t>aravan or residential parks are one of the few remaining affordable housing options for lower income earners. The loss of this accommodation reduces options for lower income households</w:t>
      </w:r>
      <w:r>
        <w:rPr>
          <w:sz w:val="22"/>
          <w:szCs w:val="22"/>
        </w:rPr>
        <w:t xml:space="preserve"> and is another indicator of the loss of affordable housing</w:t>
      </w:r>
      <w:r w:rsidRPr="007F59AF">
        <w:rPr>
          <w:sz w:val="22"/>
          <w:szCs w:val="22"/>
        </w:rPr>
        <w:t>.</w:t>
      </w:r>
    </w:p>
    <w:p w14:paraId="2A027F4A" w14:textId="77777777" w:rsidR="009D423E" w:rsidRDefault="009D423E" w:rsidP="007744E4">
      <w:pPr>
        <w:pStyle w:val="ListParagraph"/>
        <w:numPr>
          <w:ilvl w:val="0"/>
          <w:numId w:val="13"/>
        </w:numPr>
        <w:spacing w:before="0" w:after="0"/>
        <w:rPr>
          <w:sz w:val="22"/>
          <w:szCs w:val="22"/>
        </w:rPr>
      </w:pPr>
      <w:r>
        <w:rPr>
          <w:sz w:val="22"/>
          <w:szCs w:val="22"/>
        </w:rPr>
        <w:t xml:space="preserve">The region also has </w:t>
      </w:r>
      <w:r w:rsidR="00E4678F">
        <w:rPr>
          <w:sz w:val="22"/>
          <w:szCs w:val="22"/>
        </w:rPr>
        <w:t>16</w:t>
      </w:r>
      <w:r>
        <w:rPr>
          <w:sz w:val="22"/>
          <w:szCs w:val="22"/>
        </w:rPr>
        <w:t xml:space="preserve"> improvised dwellings.  According to the ABS;</w:t>
      </w:r>
    </w:p>
    <w:p w14:paraId="3CDA0F14" w14:textId="77777777" w:rsidR="009D423E" w:rsidRPr="007F59AF" w:rsidRDefault="009D423E" w:rsidP="007744E4">
      <w:pPr>
        <w:pStyle w:val="ListParagraph"/>
        <w:numPr>
          <w:ilvl w:val="1"/>
          <w:numId w:val="13"/>
        </w:numPr>
        <w:spacing w:before="0" w:after="0"/>
        <w:rPr>
          <w:sz w:val="22"/>
          <w:szCs w:val="22"/>
        </w:rPr>
      </w:pPr>
      <w:r>
        <w:rPr>
          <w:sz w:val="22"/>
          <w:szCs w:val="22"/>
        </w:rPr>
        <w:t>“</w:t>
      </w:r>
      <w:r w:rsidRPr="000F0FEA">
        <w:rPr>
          <w:sz w:val="22"/>
          <w:szCs w:val="22"/>
        </w:rPr>
        <w:t>Persons in other improvised dwellings are those people who were enumerated on Census night in the dwelling category of an improvised dwelling, tent or sleepers out who reported either being 'at home' on Census night or having no usual address, and are not considered, on balance, to be homeless. Under the ABS definition they are not classified as homeless because they have accommodation alternatives, and in many living situations, the dwelling will be adequate. They are however included in marginal housing and may be at risk of homelessness.</w:t>
      </w:r>
      <w:r>
        <w:rPr>
          <w:sz w:val="22"/>
          <w:szCs w:val="22"/>
        </w:rPr>
        <w:t>”</w:t>
      </w:r>
    </w:p>
    <w:p w14:paraId="148139E6" w14:textId="77777777" w:rsidR="00431CF3" w:rsidRPr="001E2A53" w:rsidRDefault="00431CF3" w:rsidP="00431CF3">
      <w:pPr>
        <w:rPr>
          <w:highlight w:val="yellow"/>
        </w:rPr>
      </w:pPr>
    </w:p>
    <w:p w14:paraId="3C96F8E8" w14:textId="77777777" w:rsidR="002C0AAF" w:rsidRPr="004D349C" w:rsidRDefault="00573960" w:rsidP="00752A34">
      <w:pPr>
        <w:pStyle w:val="Heading2"/>
      </w:pPr>
      <w:r w:rsidRPr="004D349C">
        <w:t>Bedroom Mix</w:t>
      </w:r>
    </w:p>
    <w:p w14:paraId="06D7B9A5" w14:textId="77777777" w:rsidR="004D349C" w:rsidRDefault="00696D0A" w:rsidP="004D349C">
      <w:pPr>
        <w:numPr>
          <w:ilvl w:val="0"/>
          <w:numId w:val="3"/>
        </w:numPr>
        <w:spacing w:before="0" w:after="0"/>
        <w:rPr>
          <w:sz w:val="22"/>
          <w:szCs w:val="22"/>
        </w:rPr>
      </w:pPr>
      <w:r>
        <w:rPr>
          <w:sz w:val="22"/>
          <w:szCs w:val="22"/>
        </w:rPr>
        <w:t>Central City</w:t>
      </w:r>
      <w:r w:rsidR="004D349C">
        <w:rPr>
          <w:sz w:val="22"/>
          <w:szCs w:val="22"/>
        </w:rPr>
        <w:t xml:space="preserve"> also has insufficient variation in the number of bedrooms per dwelling, with 3</w:t>
      </w:r>
      <w:r w:rsidR="00652E2E">
        <w:rPr>
          <w:sz w:val="22"/>
          <w:szCs w:val="22"/>
        </w:rPr>
        <w:t>1</w:t>
      </w:r>
      <w:r w:rsidR="004D349C">
        <w:rPr>
          <w:sz w:val="22"/>
          <w:szCs w:val="22"/>
        </w:rPr>
        <w:t>.7% of dwellings having three bedrooms and a further 3</w:t>
      </w:r>
      <w:r w:rsidR="00652E2E">
        <w:rPr>
          <w:sz w:val="22"/>
          <w:szCs w:val="22"/>
        </w:rPr>
        <w:t>9.5</w:t>
      </w:r>
      <w:r w:rsidR="004D349C">
        <w:rPr>
          <w:sz w:val="22"/>
          <w:szCs w:val="22"/>
        </w:rPr>
        <w:t xml:space="preserve">% having four or more </w:t>
      </w:r>
      <w:r w:rsidR="004D349C">
        <w:rPr>
          <w:sz w:val="22"/>
          <w:szCs w:val="22"/>
        </w:rPr>
        <w:lastRenderedPageBreak/>
        <w:t>bedrooms</w:t>
      </w:r>
      <w:r w:rsidR="00652E2E">
        <w:rPr>
          <w:sz w:val="22"/>
          <w:szCs w:val="22"/>
        </w:rPr>
        <w:t>, totalling 71.3% with three or more bedrooms</w:t>
      </w:r>
      <w:r w:rsidR="004D349C">
        <w:rPr>
          <w:sz w:val="22"/>
          <w:szCs w:val="22"/>
        </w:rPr>
        <w:t xml:space="preserve">.  Only 0.4% of homes are studios, </w:t>
      </w:r>
      <w:r w:rsidR="00652E2E">
        <w:rPr>
          <w:sz w:val="22"/>
          <w:szCs w:val="22"/>
        </w:rPr>
        <w:t>4.9</w:t>
      </w:r>
      <w:r w:rsidR="004D349C">
        <w:rPr>
          <w:sz w:val="22"/>
          <w:szCs w:val="22"/>
        </w:rPr>
        <w:t xml:space="preserve">% have one bedroom and </w:t>
      </w:r>
      <w:r w:rsidR="00652E2E">
        <w:rPr>
          <w:sz w:val="22"/>
          <w:szCs w:val="22"/>
        </w:rPr>
        <w:t>22.0</w:t>
      </w:r>
      <w:r w:rsidR="004D349C">
        <w:rPr>
          <w:sz w:val="22"/>
          <w:szCs w:val="22"/>
        </w:rPr>
        <w:t xml:space="preserve">% have two bedrooms in </w:t>
      </w:r>
      <w:r w:rsidR="00652E2E">
        <w:rPr>
          <w:sz w:val="22"/>
          <w:szCs w:val="22"/>
        </w:rPr>
        <w:t>Central City</w:t>
      </w:r>
      <w:r w:rsidR="004D349C">
        <w:rPr>
          <w:sz w:val="22"/>
          <w:szCs w:val="22"/>
        </w:rPr>
        <w:t>.</w:t>
      </w:r>
    </w:p>
    <w:p w14:paraId="1CF9AEDC" w14:textId="77777777" w:rsidR="004D349C" w:rsidRDefault="004D349C" w:rsidP="004D349C">
      <w:pPr>
        <w:numPr>
          <w:ilvl w:val="0"/>
          <w:numId w:val="3"/>
        </w:numPr>
        <w:spacing w:before="0" w:after="0"/>
        <w:rPr>
          <w:sz w:val="22"/>
          <w:szCs w:val="22"/>
        </w:rPr>
      </w:pPr>
      <w:r>
        <w:rPr>
          <w:sz w:val="22"/>
          <w:szCs w:val="22"/>
        </w:rPr>
        <w:t>This compares to 0.9% studios, 8.1% one bedroom and 25.9% two bedroom in Greater Sydney</w:t>
      </w:r>
      <w:r w:rsidR="009D05EF">
        <w:rPr>
          <w:sz w:val="22"/>
          <w:szCs w:val="22"/>
        </w:rPr>
        <w:t xml:space="preserve"> as a whole</w:t>
      </w:r>
      <w:r>
        <w:rPr>
          <w:sz w:val="22"/>
          <w:szCs w:val="22"/>
        </w:rPr>
        <w:t xml:space="preserve">.  </w:t>
      </w:r>
    </w:p>
    <w:p w14:paraId="31B5DF13" w14:textId="77777777" w:rsidR="004D349C" w:rsidRDefault="004D349C" w:rsidP="004D349C">
      <w:pPr>
        <w:numPr>
          <w:ilvl w:val="0"/>
          <w:numId w:val="3"/>
        </w:numPr>
        <w:spacing w:before="0" w:after="0"/>
        <w:rPr>
          <w:sz w:val="22"/>
          <w:szCs w:val="22"/>
        </w:rPr>
      </w:pPr>
      <w:r>
        <w:rPr>
          <w:sz w:val="22"/>
          <w:szCs w:val="22"/>
        </w:rPr>
        <w:t xml:space="preserve">It is important to note that this is an improvement from 2016, when </w:t>
      </w:r>
      <w:r w:rsidRPr="009756C3">
        <w:rPr>
          <w:sz w:val="22"/>
          <w:szCs w:val="22"/>
        </w:rPr>
        <w:t>one bedroom homes comprise</w:t>
      </w:r>
      <w:r>
        <w:rPr>
          <w:sz w:val="22"/>
          <w:szCs w:val="22"/>
        </w:rPr>
        <w:t>d</w:t>
      </w:r>
      <w:r w:rsidRPr="009756C3">
        <w:rPr>
          <w:sz w:val="22"/>
          <w:szCs w:val="22"/>
        </w:rPr>
        <w:t xml:space="preserve"> </w:t>
      </w:r>
      <w:r w:rsidR="009D05EF">
        <w:rPr>
          <w:sz w:val="22"/>
          <w:szCs w:val="22"/>
        </w:rPr>
        <w:t>3.6</w:t>
      </w:r>
      <w:r w:rsidRPr="009756C3">
        <w:rPr>
          <w:sz w:val="22"/>
          <w:szCs w:val="22"/>
        </w:rPr>
        <w:t xml:space="preserve">% and two bedrooms </w:t>
      </w:r>
      <w:r>
        <w:rPr>
          <w:sz w:val="22"/>
          <w:szCs w:val="22"/>
        </w:rPr>
        <w:t>1</w:t>
      </w:r>
      <w:r w:rsidR="009D05EF">
        <w:rPr>
          <w:sz w:val="22"/>
          <w:szCs w:val="22"/>
        </w:rPr>
        <w:t>9.7</w:t>
      </w:r>
      <w:r w:rsidRPr="009756C3">
        <w:rPr>
          <w:sz w:val="22"/>
          <w:szCs w:val="22"/>
        </w:rPr>
        <w:t>% of residential stock on average across the region</w:t>
      </w:r>
      <w:r>
        <w:rPr>
          <w:sz w:val="22"/>
          <w:szCs w:val="22"/>
        </w:rPr>
        <w:t>.</w:t>
      </w:r>
      <w:r w:rsidR="009D05EF">
        <w:rPr>
          <w:sz w:val="22"/>
          <w:szCs w:val="22"/>
        </w:rPr>
        <w:t xml:space="preserve">  There has been no increase in the proportion of studio dwellings since 2016 however.</w:t>
      </w:r>
    </w:p>
    <w:p w14:paraId="293BBBBD" w14:textId="77777777" w:rsidR="00067212" w:rsidRDefault="00067212" w:rsidP="00067212">
      <w:pPr>
        <w:numPr>
          <w:ilvl w:val="0"/>
          <w:numId w:val="3"/>
        </w:numPr>
        <w:spacing w:before="0" w:after="0"/>
        <w:rPr>
          <w:sz w:val="22"/>
          <w:szCs w:val="22"/>
        </w:rPr>
      </w:pPr>
      <w:r>
        <w:rPr>
          <w:sz w:val="22"/>
          <w:szCs w:val="22"/>
        </w:rPr>
        <w:t xml:space="preserve">Within the region, </w:t>
      </w:r>
    </w:p>
    <w:p w14:paraId="739E0159" w14:textId="77777777" w:rsidR="00067212" w:rsidRDefault="00067212" w:rsidP="00067212">
      <w:pPr>
        <w:numPr>
          <w:ilvl w:val="1"/>
          <w:numId w:val="3"/>
        </w:numPr>
        <w:spacing w:before="0" w:after="0"/>
        <w:rPr>
          <w:sz w:val="22"/>
          <w:szCs w:val="22"/>
        </w:rPr>
      </w:pPr>
      <w:r>
        <w:rPr>
          <w:sz w:val="22"/>
          <w:szCs w:val="22"/>
        </w:rPr>
        <w:t xml:space="preserve">Parramatta has the highest proportion of studio dwellings with 0.7% and The Hills Shire the lowest with 0.1%; </w:t>
      </w:r>
    </w:p>
    <w:p w14:paraId="0FA69C4F" w14:textId="77777777" w:rsidR="00067212" w:rsidRDefault="00DB2B77" w:rsidP="00067212">
      <w:pPr>
        <w:numPr>
          <w:ilvl w:val="1"/>
          <w:numId w:val="3"/>
        </w:numPr>
        <w:spacing w:before="0" w:after="0"/>
        <w:rPr>
          <w:sz w:val="22"/>
          <w:szCs w:val="22"/>
        </w:rPr>
      </w:pPr>
      <w:r>
        <w:rPr>
          <w:sz w:val="22"/>
          <w:szCs w:val="22"/>
        </w:rPr>
        <w:t>Parramatta</w:t>
      </w:r>
      <w:r w:rsidR="00067212">
        <w:rPr>
          <w:sz w:val="22"/>
          <w:szCs w:val="22"/>
        </w:rPr>
        <w:t xml:space="preserve"> has the highest proportion of one bedroom homes with </w:t>
      </w:r>
      <w:r>
        <w:rPr>
          <w:sz w:val="22"/>
          <w:szCs w:val="22"/>
        </w:rPr>
        <w:t>9.9</w:t>
      </w:r>
      <w:r w:rsidR="00067212">
        <w:rPr>
          <w:sz w:val="22"/>
          <w:szCs w:val="22"/>
        </w:rPr>
        <w:t xml:space="preserve">% and </w:t>
      </w:r>
      <w:r>
        <w:rPr>
          <w:sz w:val="22"/>
          <w:szCs w:val="22"/>
        </w:rPr>
        <w:t>The Hills Shire</w:t>
      </w:r>
      <w:r w:rsidR="00067212">
        <w:rPr>
          <w:sz w:val="22"/>
          <w:szCs w:val="22"/>
        </w:rPr>
        <w:t xml:space="preserve"> the lowest with </w:t>
      </w:r>
      <w:r>
        <w:rPr>
          <w:sz w:val="22"/>
          <w:szCs w:val="22"/>
        </w:rPr>
        <w:t>1.9</w:t>
      </w:r>
      <w:r w:rsidR="00067212">
        <w:rPr>
          <w:sz w:val="22"/>
          <w:szCs w:val="22"/>
        </w:rPr>
        <w:t>%;</w:t>
      </w:r>
    </w:p>
    <w:p w14:paraId="05C7489C" w14:textId="77777777" w:rsidR="00067212" w:rsidRDefault="00DB2B77" w:rsidP="00067212">
      <w:pPr>
        <w:numPr>
          <w:ilvl w:val="1"/>
          <w:numId w:val="3"/>
        </w:numPr>
        <w:spacing w:before="0" w:after="0"/>
        <w:rPr>
          <w:sz w:val="22"/>
          <w:szCs w:val="22"/>
        </w:rPr>
      </w:pPr>
      <w:r>
        <w:rPr>
          <w:sz w:val="22"/>
          <w:szCs w:val="22"/>
        </w:rPr>
        <w:t>Parramatta</w:t>
      </w:r>
      <w:r w:rsidR="00067212">
        <w:rPr>
          <w:sz w:val="22"/>
          <w:szCs w:val="22"/>
        </w:rPr>
        <w:t xml:space="preserve"> has the highest propor</w:t>
      </w:r>
      <w:r>
        <w:rPr>
          <w:sz w:val="22"/>
          <w:szCs w:val="22"/>
        </w:rPr>
        <w:t>tion of two bedroom homes with 36.7</w:t>
      </w:r>
      <w:r w:rsidR="00067212">
        <w:rPr>
          <w:sz w:val="22"/>
          <w:szCs w:val="22"/>
        </w:rPr>
        <w:t xml:space="preserve">% and </w:t>
      </w:r>
      <w:r>
        <w:rPr>
          <w:sz w:val="22"/>
          <w:szCs w:val="22"/>
        </w:rPr>
        <w:t>The Hills</w:t>
      </w:r>
      <w:r w:rsidR="00067212">
        <w:rPr>
          <w:sz w:val="22"/>
          <w:szCs w:val="22"/>
        </w:rPr>
        <w:t xml:space="preserve"> the lowest with </w:t>
      </w:r>
      <w:r>
        <w:rPr>
          <w:sz w:val="22"/>
          <w:szCs w:val="22"/>
        </w:rPr>
        <w:t>9.5</w:t>
      </w:r>
      <w:r w:rsidR="00067212">
        <w:rPr>
          <w:sz w:val="22"/>
          <w:szCs w:val="22"/>
        </w:rPr>
        <w:t>%;</w:t>
      </w:r>
    </w:p>
    <w:p w14:paraId="49394E35" w14:textId="77777777" w:rsidR="00067212" w:rsidRDefault="00DB2B77" w:rsidP="00067212">
      <w:pPr>
        <w:numPr>
          <w:ilvl w:val="1"/>
          <w:numId w:val="3"/>
        </w:numPr>
        <w:spacing w:before="0" w:after="0"/>
        <w:rPr>
          <w:sz w:val="22"/>
          <w:szCs w:val="22"/>
        </w:rPr>
      </w:pPr>
      <w:r>
        <w:rPr>
          <w:sz w:val="22"/>
          <w:szCs w:val="22"/>
        </w:rPr>
        <w:t>Blacktown</w:t>
      </w:r>
      <w:r w:rsidR="00067212">
        <w:rPr>
          <w:sz w:val="22"/>
          <w:szCs w:val="22"/>
        </w:rPr>
        <w:t xml:space="preserve"> has the highest proportion of three bedroom homes with </w:t>
      </w:r>
      <w:r>
        <w:rPr>
          <w:sz w:val="22"/>
          <w:szCs w:val="22"/>
        </w:rPr>
        <w:t>39.1</w:t>
      </w:r>
      <w:r w:rsidR="00067212">
        <w:rPr>
          <w:sz w:val="22"/>
          <w:szCs w:val="22"/>
        </w:rPr>
        <w:t xml:space="preserve">% and </w:t>
      </w:r>
      <w:r>
        <w:rPr>
          <w:sz w:val="22"/>
          <w:szCs w:val="22"/>
        </w:rPr>
        <w:t>The Hills</w:t>
      </w:r>
      <w:r w:rsidR="00067212">
        <w:rPr>
          <w:sz w:val="22"/>
          <w:szCs w:val="22"/>
        </w:rPr>
        <w:t xml:space="preserve"> the lowest with </w:t>
      </w:r>
      <w:r>
        <w:rPr>
          <w:sz w:val="22"/>
          <w:szCs w:val="22"/>
        </w:rPr>
        <w:t>20.2</w:t>
      </w:r>
      <w:r w:rsidR="00067212">
        <w:rPr>
          <w:sz w:val="22"/>
          <w:szCs w:val="22"/>
        </w:rPr>
        <w:t>%; and</w:t>
      </w:r>
      <w:r>
        <w:rPr>
          <w:sz w:val="22"/>
          <w:szCs w:val="22"/>
        </w:rPr>
        <w:t xml:space="preserve"> not surprisingly</w:t>
      </w:r>
    </w:p>
    <w:p w14:paraId="367A104F" w14:textId="77777777" w:rsidR="00067212" w:rsidRPr="00067212" w:rsidRDefault="00DB2B77" w:rsidP="00067212">
      <w:pPr>
        <w:numPr>
          <w:ilvl w:val="1"/>
          <w:numId w:val="3"/>
        </w:numPr>
        <w:spacing w:before="0" w:after="0"/>
        <w:rPr>
          <w:sz w:val="22"/>
          <w:szCs w:val="22"/>
        </w:rPr>
      </w:pPr>
      <w:r>
        <w:rPr>
          <w:sz w:val="22"/>
          <w:szCs w:val="22"/>
        </w:rPr>
        <w:t>The Hills</w:t>
      </w:r>
      <w:r w:rsidR="00067212">
        <w:rPr>
          <w:sz w:val="22"/>
          <w:szCs w:val="22"/>
        </w:rPr>
        <w:t xml:space="preserve"> has the highest proportion of four or more bedroom homes with </w:t>
      </w:r>
      <w:r>
        <w:rPr>
          <w:sz w:val="22"/>
          <w:szCs w:val="22"/>
        </w:rPr>
        <w:t xml:space="preserve">an </w:t>
      </w:r>
      <w:r w:rsidR="000F1155">
        <w:rPr>
          <w:sz w:val="22"/>
          <w:szCs w:val="22"/>
        </w:rPr>
        <w:t>exceptionally high</w:t>
      </w:r>
      <w:r w:rsidRPr="000F1155">
        <w:rPr>
          <w:sz w:val="22"/>
          <w:szCs w:val="22"/>
        </w:rPr>
        <w:t xml:space="preserve"> 67.5</w:t>
      </w:r>
      <w:r w:rsidR="00067212" w:rsidRPr="000F1155">
        <w:rPr>
          <w:sz w:val="22"/>
          <w:szCs w:val="22"/>
        </w:rPr>
        <w:t xml:space="preserve">% </w:t>
      </w:r>
      <w:r w:rsidRPr="000F1155">
        <w:rPr>
          <w:sz w:val="22"/>
          <w:szCs w:val="22"/>
        </w:rPr>
        <w:t>(in NSW</w:t>
      </w:r>
      <w:r w:rsidR="000F1155">
        <w:rPr>
          <w:sz w:val="22"/>
          <w:szCs w:val="22"/>
        </w:rPr>
        <w:t xml:space="preserve"> the only LGA with a higher proportion is Camden with 71.6%,</w:t>
      </w:r>
      <w:r w:rsidR="00F02ABB" w:rsidRPr="000F1155">
        <w:rPr>
          <w:sz w:val="22"/>
          <w:szCs w:val="22"/>
        </w:rPr>
        <w:t xml:space="preserve"> the next closest is </w:t>
      </w:r>
      <w:r w:rsidR="000F1155">
        <w:rPr>
          <w:sz w:val="22"/>
          <w:szCs w:val="22"/>
        </w:rPr>
        <w:t xml:space="preserve">60.8% in Wollondilly followed by </w:t>
      </w:r>
      <w:r w:rsidR="00F02ABB" w:rsidRPr="000F1155">
        <w:rPr>
          <w:sz w:val="22"/>
          <w:szCs w:val="22"/>
        </w:rPr>
        <w:t>52.1% in Yass Valley</w:t>
      </w:r>
      <w:r w:rsidRPr="000F1155">
        <w:rPr>
          <w:sz w:val="22"/>
          <w:szCs w:val="22"/>
        </w:rPr>
        <w:t>)</w:t>
      </w:r>
      <w:r>
        <w:rPr>
          <w:sz w:val="22"/>
          <w:szCs w:val="22"/>
        </w:rPr>
        <w:t xml:space="preserve"> </w:t>
      </w:r>
      <w:r w:rsidR="00067212">
        <w:rPr>
          <w:sz w:val="22"/>
          <w:szCs w:val="22"/>
        </w:rPr>
        <w:t xml:space="preserve">and </w:t>
      </w:r>
      <w:r>
        <w:rPr>
          <w:sz w:val="22"/>
          <w:szCs w:val="22"/>
        </w:rPr>
        <w:t>Parramatta</w:t>
      </w:r>
      <w:r w:rsidR="00067212">
        <w:rPr>
          <w:sz w:val="22"/>
          <w:szCs w:val="22"/>
        </w:rPr>
        <w:t xml:space="preserve"> the lowest with 23.</w:t>
      </w:r>
      <w:r>
        <w:rPr>
          <w:sz w:val="22"/>
          <w:szCs w:val="22"/>
        </w:rPr>
        <w:t>5</w:t>
      </w:r>
      <w:r w:rsidR="00067212">
        <w:rPr>
          <w:sz w:val="22"/>
          <w:szCs w:val="22"/>
        </w:rPr>
        <w:t>%.</w:t>
      </w:r>
    </w:p>
    <w:p w14:paraId="03D0845D" w14:textId="77777777" w:rsidR="004D349C" w:rsidRDefault="004D349C" w:rsidP="004D349C">
      <w:pPr>
        <w:numPr>
          <w:ilvl w:val="0"/>
          <w:numId w:val="3"/>
        </w:numPr>
        <w:spacing w:before="0" w:after="0"/>
        <w:rPr>
          <w:sz w:val="22"/>
          <w:szCs w:val="22"/>
        </w:rPr>
      </w:pPr>
      <w:r w:rsidRPr="002478C2">
        <w:rPr>
          <w:sz w:val="22"/>
          <w:szCs w:val="22"/>
        </w:rPr>
        <w:t xml:space="preserve">The graph </w:t>
      </w:r>
      <w:r>
        <w:rPr>
          <w:sz w:val="22"/>
          <w:szCs w:val="22"/>
        </w:rPr>
        <w:t xml:space="preserve">and table </w:t>
      </w:r>
      <w:r w:rsidRPr="002478C2">
        <w:rPr>
          <w:sz w:val="22"/>
          <w:szCs w:val="22"/>
        </w:rPr>
        <w:t xml:space="preserve">below show the proportion of studio, one, two, three and four or more bedroom occupied dwellings in </w:t>
      </w:r>
      <w:r w:rsidR="009D05EF">
        <w:rPr>
          <w:sz w:val="22"/>
          <w:szCs w:val="22"/>
        </w:rPr>
        <w:t>Central City</w:t>
      </w:r>
      <w:r w:rsidRPr="002478C2">
        <w:rPr>
          <w:sz w:val="22"/>
          <w:szCs w:val="22"/>
        </w:rPr>
        <w:t xml:space="preserve"> at the 20</w:t>
      </w:r>
      <w:r>
        <w:rPr>
          <w:sz w:val="22"/>
          <w:szCs w:val="22"/>
        </w:rPr>
        <w:t>21</w:t>
      </w:r>
      <w:r w:rsidRPr="002478C2">
        <w:rPr>
          <w:sz w:val="22"/>
          <w:szCs w:val="22"/>
        </w:rPr>
        <w:t xml:space="preserve"> Census.</w:t>
      </w:r>
    </w:p>
    <w:p w14:paraId="71729935" w14:textId="77777777" w:rsidR="004D349C" w:rsidRDefault="004D349C" w:rsidP="004D349C">
      <w:pPr>
        <w:spacing w:before="0" w:after="0"/>
        <w:ind w:left="360"/>
        <w:rPr>
          <w:sz w:val="22"/>
          <w:szCs w:val="22"/>
        </w:rPr>
      </w:pPr>
    </w:p>
    <w:p w14:paraId="546C73A6" w14:textId="77777777" w:rsidR="004D349C" w:rsidRDefault="004D349C" w:rsidP="004D349C">
      <w:pPr>
        <w:rPr>
          <w:sz w:val="22"/>
        </w:rPr>
      </w:pPr>
      <w:r>
        <w:rPr>
          <w:noProof/>
          <w:sz w:val="22"/>
        </w:rPr>
        <w:drawing>
          <wp:inline distT="0" distB="0" distL="0" distR="0" wp14:anchorId="349A473D" wp14:editId="1DABD0F2">
            <wp:extent cx="5937885" cy="3517900"/>
            <wp:effectExtent l="0" t="0" r="571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885" cy="3517900"/>
                    </a:xfrm>
                    <a:prstGeom prst="rect">
                      <a:avLst/>
                    </a:prstGeom>
                    <a:noFill/>
                  </pic:spPr>
                </pic:pic>
              </a:graphicData>
            </a:graphic>
          </wp:inline>
        </w:drawing>
      </w:r>
    </w:p>
    <w:p w14:paraId="5F9D88A3" w14:textId="77777777" w:rsidR="004D349C" w:rsidRDefault="004D349C" w:rsidP="004D349C">
      <w:pPr>
        <w:rPr>
          <w:sz w:val="22"/>
        </w:rPr>
      </w:pPr>
    </w:p>
    <w:p w14:paraId="398FAD2E" w14:textId="77777777" w:rsidR="004D349C" w:rsidRDefault="004D349C" w:rsidP="004D349C">
      <w:pPr>
        <w:rPr>
          <w:sz w:val="22"/>
        </w:rPr>
      </w:pPr>
      <w:r w:rsidRPr="004D349C">
        <w:rPr>
          <w:noProof/>
        </w:rPr>
        <w:lastRenderedPageBreak/>
        <w:drawing>
          <wp:inline distT="0" distB="0" distL="0" distR="0" wp14:anchorId="637B88F6" wp14:editId="15423649">
            <wp:extent cx="5534025" cy="15335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4025" cy="1533525"/>
                    </a:xfrm>
                    <a:prstGeom prst="rect">
                      <a:avLst/>
                    </a:prstGeom>
                    <a:noFill/>
                    <a:ln>
                      <a:noFill/>
                    </a:ln>
                  </pic:spPr>
                </pic:pic>
              </a:graphicData>
            </a:graphic>
          </wp:inline>
        </w:drawing>
      </w:r>
    </w:p>
    <w:p w14:paraId="57F3A0FD" w14:textId="77777777" w:rsidR="00696D0A" w:rsidRPr="005A2C8F" w:rsidRDefault="00696D0A" w:rsidP="00DB2B77">
      <w:pPr>
        <w:spacing w:before="0" w:after="0"/>
        <w:ind w:left="360"/>
        <w:rPr>
          <w:sz w:val="22"/>
          <w:szCs w:val="22"/>
        </w:rPr>
      </w:pPr>
    </w:p>
    <w:p w14:paraId="3873FD9A" w14:textId="77777777" w:rsidR="00696D0A" w:rsidRDefault="00696D0A" w:rsidP="00696D0A">
      <w:pPr>
        <w:numPr>
          <w:ilvl w:val="0"/>
          <w:numId w:val="16"/>
        </w:numPr>
        <w:spacing w:before="0" w:after="0"/>
        <w:rPr>
          <w:sz w:val="22"/>
          <w:szCs w:val="22"/>
        </w:rPr>
      </w:pPr>
      <w:r w:rsidRPr="005A2C8F">
        <w:rPr>
          <w:sz w:val="22"/>
          <w:szCs w:val="22"/>
        </w:rPr>
        <w:t xml:space="preserve">Given that lone person and couple only households comprised </w:t>
      </w:r>
      <w:r w:rsidR="00652E2E">
        <w:rPr>
          <w:sz w:val="22"/>
          <w:szCs w:val="22"/>
        </w:rPr>
        <w:t>37.5</w:t>
      </w:r>
      <w:r>
        <w:rPr>
          <w:sz w:val="22"/>
          <w:szCs w:val="22"/>
        </w:rPr>
        <w:t xml:space="preserve">% </w:t>
      </w:r>
      <w:r w:rsidRPr="005A2C8F">
        <w:rPr>
          <w:sz w:val="22"/>
          <w:szCs w:val="22"/>
        </w:rPr>
        <w:t xml:space="preserve">of all households in </w:t>
      </w:r>
      <w:r>
        <w:rPr>
          <w:sz w:val="22"/>
          <w:szCs w:val="22"/>
        </w:rPr>
        <w:t xml:space="preserve">Central City (up from </w:t>
      </w:r>
      <w:r w:rsidR="00652E2E">
        <w:rPr>
          <w:sz w:val="22"/>
          <w:szCs w:val="22"/>
        </w:rPr>
        <w:t>35.7</w:t>
      </w:r>
      <w:r w:rsidRPr="005A2C8F">
        <w:rPr>
          <w:sz w:val="22"/>
          <w:szCs w:val="22"/>
        </w:rPr>
        <w:t>%</w:t>
      </w:r>
      <w:r>
        <w:rPr>
          <w:sz w:val="22"/>
          <w:szCs w:val="22"/>
        </w:rPr>
        <w:t xml:space="preserve"> in 2016)</w:t>
      </w:r>
      <w:r w:rsidRPr="005A2C8F">
        <w:rPr>
          <w:sz w:val="22"/>
          <w:szCs w:val="22"/>
        </w:rPr>
        <w:t xml:space="preserve">, the fact that studio and one bedroom homes combined comprise just </w:t>
      </w:r>
      <w:r w:rsidR="00652E2E">
        <w:rPr>
          <w:sz w:val="22"/>
          <w:szCs w:val="22"/>
        </w:rPr>
        <w:t>5.3</w:t>
      </w:r>
      <w:r w:rsidRPr="005A2C8F">
        <w:rPr>
          <w:sz w:val="22"/>
          <w:szCs w:val="22"/>
        </w:rPr>
        <w:t>% of the housing stock</w:t>
      </w:r>
      <w:r>
        <w:rPr>
          <w:sz w:val="22"/>
          <w:szCs w:val="22"/>
        </w:rPr>
        <w:t xml:space="preserve"> means there is a mismatch between household type and bedroom number.  There are insufficient housing options for smaller households</w:t>
      </w:r>
      <w:r w:rsidRPr="005A2C8F">
        <w:rPr>
          <w:sz w:val="22"/>
          <w:szCs w:val="22"/>
        </w:rPr>
        <w:t>.</w:t>
      </w:r>
      <w:r w:rsidR="00623DB4">
        <w:rPr>
          <w:sz w:val="22"/>
          <w:szCs w:val="22"/>
        </w:rPr>
        <w:t xml:space="preserve">  Note that The Hills Shire, with 87.7% homes of three or more bedrooms has 35.3% of households comprising lone person or couples without children.</w:t>
      </w:r>
    </w:p>
    <w:p w14:paraId="54D4C1CE" w14:textId="77777777" w:rsidR="000F1155" w:rsidRPr="005A2C8F" w:rsidRDefault="000F1155" w:rsidP="00696D0A">
      <w:pPr>
        <w:numPr>
          <w:ilvl w:val="0"/>
          <w:numId w:val="16"/>
        </w:numPr>
        <w:spacing w:before="0" w:after="0"/>
        <w:rPr>
          <w:sz w:val="22"/>
          <w:szCs w:val="22"/>
        </w:rPr>
      </w:pPr>
      <w:r>
        <w:rPr>
          <w:sz w:val="22"/>
          <w:szCs w:val="22"/>
        </w:rPr>
        <w:t>While both Parramatta and Cumberland have high proportions of two bedroom properties and above Greater Sydney average proportions of one bedroom homes, they, like Blacktown and The Hills, have lower proportions of studio dwellings.</w:t>
      </w:r>
    </w:p>
    <w:p w14:paraId="011BD2E8" w14:textId="77777777" w:rsidR="00696D0A" w:rsidRPr="005A2C8F" w:rsidRDefault="00696D0A" w:rsidP="00696D0A">
      <w:pPr>
        <w:numPr>
          <w:ilvl w:val="0"/>
          <w:numId w:val="16"/>
        </w:numPr>
        <w:spacing w:before="0" w:after="0"/>
        <w:rPr>
          <w:sz w:val="22"/>
          <w:szCs w:val="22"/>
        </w:rPr>
      </w:pPr>
      <w:r w:rsidRPr="005A2C8F">
        <w:rPr>
          <w:sz w:val="22"/>
          <w:szCs w:val="22"/>
        </w:rPr>
        <w:t xml:space="preserve">The forecast increase in older age groups in </w:t>
      </w:r>
      <w:r w:rsidR="00623DB4">
        <w:rPr>
          <w:sz w:val="22"/>
          <w:szCs w:val="22"/>
        </w:rPr>
        <w:t>Central City</w:t>
      </w:r>
      <w:r w:rsidRPr="005A2C8F">
        <w:rPr>
          <w:sz w:val="22"/>
          <w:szCs w:val="22"/>
        </w:rPr>
        <w:t xml:space="preserve"> is likely to increase the demand for smaller, more manageable and affordable homes.</w:t>
      </w:r>
    </w:p>
    <w:p w14:paraId="2376C44E" w14:textId="77777777" w:rsidR="00CA7770" w:rsidRDefault="00696D0A" w:rsidP="00CA7770">
      <w:pPr>
        <w:numPr>
          <w:ilvl w:val="0"/>
          <w:numId w:val="17"/>
        </w:numPr>
        <w:spacing w:before="0" w:after="0"/>
        <w:rPr>
          <w:sz w:val="22"/>
          <w:szCs w:val="22"/>
        </w:rPr>
      </w:pPr>
      <w:r w:rsidRPr="005A2C8F">
        <w:rPr>
          <w:sz w:val="22"/>
          <w:szCs w:val="22"/>
        </w:rPr>
        <w:t xml:space="preserve">Ideally there should be an increase in the number of studio, one and two bedroom dwellings to suit these household types and </w:t>
      </w:r>
      <w:r w:rsidR="00623DB4">
        <w:rPr>
          <w:sz w:val="22"/>
          <w:szCs w:val="22"/>
        </w:rPr>
        <w:t xml:space="preserve">to </w:t>
      </w:r>
      <w:r w:rsidRPr="005A2C8F">
        <w:rPr>
          <w:sz w:val="22"/>
          <w:szCs w:val="22"/>
        </w:rPr>
        <w:t>offer some housing choice.</w:t>
      </w:r>
      <w:r>
        <w:rPr>
          <w:sz w:val="22"/>
          <w:szCs w:val="22"/>
        </w:rPr>
        <w:t xml:space="preserve"> </w:t>
      </w:r>
      <w:r w:rsidR="00CA7770" w:rsidRPr="006D3491">
        <w:rPr>
          <w:sz w:val="22"/>
          <w:szCs w:val="22"/>
        </w:rPr>
        <w:t>Two bedroom dwellings in particular offer the most flexibility, given they are also suitable for small families</w:t>
      </w:r>
      <w:r w:rsidR="00CA7770">
        <w:rPr>
          <w:sz w:val="22"/>
          <w:szCs w:val="22"/>
        </w:rPr>
        <w:t xml:space="preserve"> and allow older residents to have family members or carers to stay while giving them a more manageable size home to maintain</w:t>
      </w:r>
      <w:r w:rsidR="00CA7770" w:rsidRPr="006D3491">
        <w:rPr>
          <w:sz w:val="22"/>
          <w:szCs w:val="22"/>
        </w:rPr>
        <w:t>.</w:t>
      </w:r>
      <w:r w:rsidR="00CA7770">
        <w:rPr>
          <w:sz w:val="22"/>
          <w:szCs w:val="22"/>
        </w:rPr>
        <w:t xml:space="preserve">  Providing choice in the number of bedrooms enables them to downsize and stay in their community and more broadly may help with affordability.</w:t>
      </w:r>
    </w:p>
    <w:p w14:paraId="1E55BCC1" w14:textId="77777777" w:rsidR="00CA7770" w:rsidRDefault="00CA7770" w:rsidP="00CA7770">
      <w:pPr>
        <w:numPr>
          <w:ilvl w:val="0"/>
          <w:numId w:val="17"/>
        </w:numPr>
        <w:spacing w:before="0" w:after="0"/>
        <w:rPr>
          <w:sz w:val="22"/>
          <w:szCs w:val="22"/>
        </w:rPr>
      </w:pPr>
      <w:r w:rsidRPr="006C5017">
        <w:rPr>
          <w:sz w:val="22"/>
          <w:szCs w:val="22"/>
        </w:rPr>
        <w:t>Note that new dwelling stock generally represents 1 – 2% of the total dwelling stock while established dwellings represent the remaining 98 – 99% of stock – so alterations and additions to existing stock has a significant impact on bedroom mix.</w:t>
      </w:r>
    </w:p>
    <w:p w14:paraId="5A3703FA" w14:textId="77777777" w:rsidR="00CA7770" w:rsidRDefault="00CA7770" w:rsidP="00CA7770">
      <w:pPr>
        <w:numPr>
          <w:ilvl w:val="0"/>
          <w:numId w:val="17"/>
        </w:numPr>
        <w:spacing w:before="0" w:after="0"/>
        <w:rPr>
          <w:sz w:val="22"/>
          <w:szCs w:val="22"/>
        </w:rPr>
      </w:pPr>
      <w:r w:rsidRPr="006C5017">
        <w:rPr>
          <w:sz w:val="22"/>
          <w:szCs w:val="22"/>
        </w:rPr>
        <w:t>When considering the fit of housing stock to household type into the future, this is an important consideration.</w:t>
      </w:r>
    </w:p>
    <w:p w14:paraId="0BA0776F" w14:textId="77777777" w:rsidR="00DB6CEA" w:rsidRPr="004D349C" w:rsidRDefault="00DB6CEA" w:rsidP="00DB6CEA">
      <w:pPr>
        <w:rPr>
          <w:sz w:val="22"/>
        </w:rPr>
      </w:pPr>
    </w:p>
    <w:p w14:paraId="2612A4CF" w14:textId="77777777" w:rsidR="002261DF" w:rsidRPr="004D349C" w:rsidRDefault="002261DF" w:rsidP="00DB6CEA">
      <w:pPr>
        <w:rPr>
          <w:sz w:val="22"/>
        </w:rPr>
      </w:pPr>
    </w:p>
    <w:p w14:paraId="3449579E" w14:textId="77777777" w:rsidR="003C278A" w:rsidRPr="00934888" w:rsidRDefault="00573960" w:rsidP="00752A34">
      <w:pPr>
        <w:pStyle w:val="Heading2"/>
      </w:pPr>
      <w:r w:rsidRPr="00934888">
        <w:t>Tenure</w:t>
      </w:r>
    </w:p>
    <w:p w14:paraId="7CB307A2" w14:textId="77777777" w:rsidR="009316C0" w:rsidRDefault="009316C0" w:rsidP="007744E4">
      <w:pPr>
        <w:numPr>
          <w:ilvl w:val="0"/>
          <w:numId w:val="3"/>
        </w:numPr>
        <w:spacing w:before="0" w:after="0"/>
        <w:rPr>
          <w:sz w:val="22"/>
          <w:szCs w:val="22"/>
        </w:rPr>
      </w:pPr>
      <w:r>
        <w:rPr>
          <w:sz w:val="22"/>
          <w:szCs w:val="22"/>
        </w:rPr>
        <w:t xml:space="preserve">At the 2021 Census, the most common tenure type in the Central City District was households owning their home with a mortgage (unlike regional NSW </w:t>
      </w:r>
      <w:r w:rsidR="00DA4F5B">
        <w:rPr>
          <w:sz w:val="22"/>
          <w:szCs w:val="22"/>
        </w:rPr>
        <w:t xml:space="preserve">or North District </w:t>
      </w:r>
      <w:r>
        <w:rPr>
          <w:sz w:val="22"/>
          <w:szCs w:val="22"/>
        </w:rPr>
        <w:t>where owning a home outright is the most common tenure</w:t>
      </w:r>
      <w:r w:rsidR="00DA4F5B">
        <w:rPr>
          <w:sz w:val="22"/>
          <w:szCs w:val="22"/>
        </w:rPr>
        <w:t>, or Eastern City where rental is the largest tenure</w:t>
      </w:r>
      <w:r>
        <w:rPr>
          <w:sz w:val="22"/>
          <w:szCs w:val="22"/>
        </w:rPr>
        <w:t>) – comprising 37.9% of all households.  Within the district this ranged from 46.7% in The Hills to 30.2% in Cumberland.</w:t>
      </w:r>
    </w:p>
    <w:p w14:paraId="7B38DDBD" w14:textId="77777777" w:rsidR="00AD5751" w:rsidRDefault="00AD5751" w:rsidP="007744E4">
      <w:pPr>
        <w:numPr>
          <w:ilvl w:val="0"/>
          <w:numId w:val="3"/>
        </w:numPr>
        <w:spacing w:before="0" w:after="0"/>
        <w:rPr>
          <w:sz w:val="22"/>
          <w:szCs w:val="22"/>
        </w:rPr>
      </w:pPr>
      <w:r>
        <w:rPr>
          <w:sz w:val="22"/>
          <w:szCs w:val="22"/>
        </w:rPr>
        <w:t>Rental households comprised a total of 37.7% of all households in Central City</w:t>
      </w:r>
      <w:r w:rsidR="00EE56F3">
        <w:rPr>
          <w:sz w:val="22"/>
          <w:szCs w:val="22"/>
        </w:rPr>
        <w:t xml:space="preserve"> (just under the proportion purchasing their home)</w:t>
      </w:r>
      <w:r>
        <w:rPr>
          <w:sz w:val="22"/>
          <w:szCs w:val="22"/>
        </w:rPr>
        <w:t>, ranging between 47.0% in Parramatta and 20.8% in The Hills.</w:t>
      </w:r>
    </w:p>
    <w:p w14:paraId="4F9FA0A8" w14:textId="77777777" w:rsidR="00AD5751" w:rsidRDefault="00AD5751" w:rsidP="007744E4">
      <w:pPr>
        <w:numPr>
          <w:ilvl w:val="0"/>
          <w:numId w:val="3"/>
        </w:numPr>
        <w:spacing w:before="0" w:after="0"/>
        <w:rPr>
          <w:sz w:val="22"/>
          <w:szCs w:val="22"/>
        </w:rPr>
      </w:pPr>
      <w:r>
        <w:rPr>
          <w:sz w:val="22"/>
          <w:szCs w:val="22"/>
        </w:rPr>
        <w:t xml:space="preserve">Households renting from a real estate agent comprise </w:t>
      </w:r>
      <w:r w:rsidR="000463E9">
        <w:rPr>
          <w:sz w:val="22"/>
          <w:szCs w:val="22"/>
        </w:rPr>
        <w:t>27.4</w:t>
      </w:r>
      <w:r>
        <w:rPr>
          <w:sz w:val="22"/>
          <w:szCs w:val="22"/>
        </w:rPr>
        <w:t xml:space="preserve">% of all households in </w:t>
      </w:r>
      <w:r w:rsidR="000463E9">
        <w:rPr>
          <w:sz w:val="22"/>
          <w:szCs w:val="22"/>
        </w:rPr>
        <w:t>Central City</w:t>
      </w:r>
      <w:r>
        <w:rPr>
          <w:sz w:val="22"/>
          <w:szCs w:val="22"/>
        </w:rPr>
        <w:t xml:space="preserve"> – with </w:t>
      </w:r>
      <w:r w:rsidR="000463E9">
        <w:rPr>
          <w:sz w:val="22"/>
          <w:szCs w:val="22"/>
        </w:rPr>
        <w:t>Parramatta</w:t>
      </w:r>
      <w:r>
        <w:rPr>
          <w:sz w:val="22"/>
          <w:szCs w:val="22"/>
        </w:rPr>
        <w:t xml:space="preserve"> having the highest proportion at </w:t>
      </w:r>
      <w:r w:rsidR="000463E9">
        <w:rPr>
          <w:sz w:val="22"/>
          <w:szCs w:val="22"/>
        </w:rPr>
        <w:t>36.8</w:t>
      </w:r>
      <w:r>
        <w:rPr>
          <w:sz w:val="22"/>
          <w:szCs w:val="22"/>
        </w:rPr>
        <w:t xml:space="preserve">% and </w:t>
      </w:r>
      <w:r w:rsidR="000463E9">
        <w:rPr>
          <w:sz w:val="22"/>
          <w:szCs w:val="22"/>
        </w:rPr>
        <w:t>The Hills</w:t>
      </w:r>
      <w:r>
        <w:rPr>
          <w:sz w:val="22"/>
          <w:szCs w:val="22"/>
        </w:rPr>
        <w:t xml:space="preserve"> the lowest with </w:t>
      </w:r>
      <w:r w:rsidR="000463E9">
        <w:rPr>
          <w:sz w:val="22"/>
          <w:szCs w:val="22"/>
        </w:rPr>
        <w:t>17.3</w:t>
      </w:r>
      <w:r>
        <w:rPr>
          <w:sz w:val="22"/>
          <w:szCs w:val="22"/>
        </w:rPr>
        <w:t>% of households renting though a real estate agent.</w:t>
      </w:r>
    </w:p>
    <w:p w14:paraId="39E336C1" w14:textId="77777777" w:rsidR="00AD5751" w:rsidRDefault="00AD5751" w:rsidP="007744E4">
      <w:pPr>
        <w:numPr>
          <w:ilvl w:val="0"/>
          <w:numId w:val="3"/>
        </w:numPr>
        <w:spacing w:before="0" w:after="0"/>
        <w:rPr>
          <w:sz w:val="22"/>
          <w:szCs w:val="22"/>
        </w:rPr>
      </w:pPr>
      <w:r>
        <w:rPr>
          <w:sz w:val="22"/>
          <w:szCs w:val="22"/>
        </w:rPr>
        <w:lastRenderedPageBreak/>
        <w:t>The remainder of rental households are comprised of households renting from the state housing authority (</w:t>
      </w:r>
      <w:r w:rsidR="000463E9">
        <w:rPr>
          <w:sz w:val="22"/>
          <w:szCs w:val="22"/>
        </w:rPr>
        <w:t>4</w:t>
      </w:r>
      <w:r>
        <w:rPr>
          <w:sz w:val="22"/>
          <w:szCs w:val="22"/>
        </w:rPr>
        <w:t>.3% in the region), community housing providers (</w:t>
      </w:r>
      <w:r w:rsidR="000463E9">
        <w:rPr>
          <w:sz w:val="22"/>
          <w:szCs w:val="22"/>
        </w:rPr>
        <w:t>0.8</w:t>
      </w:r>
      <w:r>
        <w:rPr>
          <w:sz w:val="22"/>
          <w:szCs w:val="22"/>
        </w:rPr>
        <w:t>%) and other landlords (</w:t>
      </w:r>
      <w:r w:rsidR="000463E9">
        <w:rPr>
          <w:sz w:val="22"/>
          <w:szCs w:val="22"/>
        </w:rPr>
        <w:t>5.2</w:t>
      </w:r>
      <w:r>
        <w:rPr>
          <w:sz w:val="22"/>
          <w:szCs w:val="22"/>
        </w:rPr>
        <w:t>%).</w:t>
      </w:r>
    </w:p>
    <w:p w14:paraId="5CB86F44" w14:textId="77777777" w:rsidR="009316C0" w:rsidRDefault="009316C0" w:rsidP="007744E4">
      <w:pPr>
        <w:numPr>
          <w:ilvl w:val="0"/>
          <w:numId w:val="3"/>
        </w:numPr>
        <w:spacing w:before="0" w:after="0"/>
        <w:rPr>
          <w:sz w:val="22"/>
          <w:szCs w:val="22"/>
        </w:rPr>
      </w:pPr>
      <w:r>
        <w:rPr>
          <w:sz w:val="22"/>
          <w:szCs w:val="22"/>
        </w:rPr>
        <w:t xml:space="preserve">The next largest tenure type was households </w:t>
      </w:r>
      <w:r w:rsidR="00EE56F3">
        <w:rPr>
          <w:sz w:val="22"/>
          <w:szCs w:val="22"/>
        </w:rPr>
        <w:t xml:space="preserve">owning </w:t>
      </w:r>
      <w:r>
        <w:rPr>
          <w:sz w:val="22"/>
          <w:szCs w:val="22"/>
        </w:rPr>
        <w:t xml:space="preserve">their home outright – comprising </w:t>
      </w:r>
      <w:r w:rsidR="00EE56F3">
        <w:rPr>
          <w:sz w:val="22"/>
          <w:szCs w:val="22"/>
        </w:rPr>
        <w:t>23.5</w:t>
      </w:r>
      <w:r>
        <w:rPr>
          <w:sz w:val="22"/>
          <w:szCs w:val="22"/>
        </w:rPr>
        <w:t xml:space="preserve">% of all households.  The proportion in this tenure ranged from </w:t>
      </w:r>
      <w:r w:rsidR="00344659">
        <w:rPr>
          <w:sz w:val="22"/>
          <w:szCs w:val="22"/>
        </w:rPr>
        <w:t>31.4</w:t>
      </w:r>
      <w:r>
        <w:rPr>
          <w:sz w:val="22"/>
          <w:szCs w:val="22"/>
        </w:rPr>
        <w:t xml:space="preserve">% in </w:t>
      </w:r>
      <w:r w:rsidR="00344659">
        <w:rPr>
          <w:sz w:val="22"/>
          <w:szCs w:val="22"/>
        </w:rPr>
        <w:t>The Hills</w:t>
      </w:r>
      <w:r>
        <w:rPr>
          <w:sz w:val="22"/>
          <w:szCs w:val="22"/>
        </w:rPr>
        <w:t xml:space="preserve"> to </w:t>
      </w:r>
      <w:r w:rsidR="00344659">
        <w:rPr>
          <w:sz w:val="22"/>
          <w:szCs w:val="22"/>
        </w:rPr>
        <w:t>20.6</w:t>
      </w:r>
      <w:r>
        <w:rPr>
          <w:sz w:val="22"/>
          <w:szCs w:val="22"/>
        </w:rPr>
        <w:t xml:space="preserve">% in </w:t>
      </w:r>
      <w:r w:rsidR="00344659">
        <w:rPr>
          <w:sz w:val="22"/>
          <w:szCs w:val="22"/>
        </w:rPr>
        <w:t>Blacktown</w:t>
      </w:r>
      <w:r>
        <w:rPr>
          <w:sz w:val="22"/>
          <w:szCs w:val="22"/>
        </w:rPr>
        <w:t>, within the region.</w:t>
      </w:r>
    </w:p>
    <w:p w14:paraId="2A9165C9" w14:textId="77777777" w:rsidR="009316C0" w:rsidRDefault="009316C0" w:rsidP="007744E4">
      <w:pPr>
        <w:numPr>
          <w:ilvl w:val="0"/>
          <w:numId w:val="3"/>
        </w:numPr>
        <w:spacing w:before="0" w:after="0"/>
        <w:rPr>
          <w:sz w:val="22"/>
          <w:szCs w:val="22"/>
        </w:rPr>
      </w:pPr>
      <w:r>
        <w:rPr>
          <w:sz w:val="22"/>
          <w:szCs w:val="22"/>
        </w:rPr>
        <w:t xml:space="preserve">The graph and table below give the tenure composition for the </w:t>
      </w:r>
      <w:r w:rsidR="00E346DD">
        <w:rPr>
          <w:sz w:val="22"/>
          <w:szCs w:val="22"/>
        </w:rPr>
        <w:t>district</w:t>
      </w:r>
      <w:r>
        <w:rPr>
          <w:sz w:val="22"/>
          <w:szCs w:val="22"/>
        </w:rPr>
        <w:t xml:space="preserve"> and individual LGAs at the 2021 Census.</w:t>
      </w:r>
    </w:p>
    <w:p w14:paraId="26FAA0F2" w14:textId="77777777" w:rsidR="00934888" w:rsidRDefault="00934888" w:rsidP="009316C0">
      <w:pPr>
        <w:rPr>
          <w:sz w:val="22"/>
          <w:szCs w:val="22"/>
        </w:rPr>
      </w:pPr>
    </w:p>
    <w:p w14:paraId="77FD1DFB" w14:textId="77777777" w:rsidR="009316C0" w:rsidRDefault="009316C0" w:rsidP="009316C0">
      <w:pPr>
        <w:rPr>
          <w:sz w:val="22"/>
          <w:szCs w:val="22"/>
        </w:rPr>
      </w:pPr>
      <w:r>
        <w:rPr>
          <w:noProof/>
          <w:sz w:val="22"/>
          <w:szCs w:val="22"/>
        </w:rPr>
        <w:drawing>
          <wp:inline distT="0" distB="0" distL="0" distR="0" wp14:anchorId="28295E18" wp14:editId="560B94CF">
            <wp:extent cx="6308090" cy="3332839"/>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12474" cy="3335155"/>
                    </a:xfrm>
                    <a:prstGeom prst="rect">
                      <a:avLst/>
                    </a:prstGeom>
                    <a:noFill/>
                  </pic:spPr>
                </pic:pic>
              </a:graphicData>
            </a:graphic>
          </wp:inline>
        </w:drawing>
      </w:r>
    </w:p>
    <w:p w14:paraId="44741D9F" w14:textId="77777777" w:rsidR="009316C0" w:rsidRDefault="009316C0" w:rsidP="009316C0">
      <w:pPr>
        <w:rPr>
          <w:sz w:val="22"/>
          <w:szCs w:val="22"/>
        </w:rPr>
      </w:pPr>
    </w:p>
    <w:p w14:paraId="35A124EB" w14:textId="77777777" w:rsidR="009316C0" w:rsidRDefault="009316C0" w:rsidP="009316C0">
      <w:pPr>
        <w:rPr>
          <w:sz w:val="22"/>
          <w:szCs w:val="22"/>
        </w:rPr>
      </w:pPr>
      <w:r w:rsidRPr="009316C0">
        <w:rPr>
          <w:noProof/>
        </w:rPr>
        <w:drawing>
          <wp:inline distT="0" distB="0" distL="0" distR="0" wp14:anchorId="1558BE17" wp14:editId="0881399F">
            <wp:extent cx="6321233" cy="173355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39768" cy="1738633"/>
                    </a:xfrm>
                    <a:prstGeom prst="rect">
                      <a:avLst/>
                    </a:prstGeom>
                    <a:noFill/>
                    <a:ln>
                      <a:noFill/>
                    </a:ln>
                  </pic:spPr>
                </pic:pic>
              </a:graphicData>
            </a:graphic>
          </wp:inline>
        </w:drawing>
      </w:r>
    </w:p>
    <w:p w14:paraId="02122224" w14:textId="77777777" w:rsidR="009316C0" w:rsidRDefault="009316C0" w:rsidP="009316C0">
      <w:pPr>
        <w:rPr>
          <w:sz w:val="22"/>
          <w:szCs w:val="22"/>
        </w:rPr>
      </w:pPr>
    </w:p>
    <w:p w14:paraId="0CB47F98" w14:textId="77777777" w:rsidR="00DF6146" w:rsidRDefault="009316C0" w:rsidP="007744E4">
      <w:pPr>
        <w:numPr>
          <w:ilvl w:val="0"/>
          <w:numId w:val="8"/>
        </w:numPr>
        <w:spacing w:before="0" w:after="0"/>
        <w:rPr>
          <w:sz w:val="22"/>
          <w:szCs w:val="22"/>
        </w:rPr>
      </w:pPr>
      <w:r w:rsidRPr="00DF6146">
        <w:rPr>
          <w:sz w:val="22"/>
          <w:szCs w:val="22"/>
        </w:rPr>
        <w:t xml:space="preserve">The general trend is for increasing numbers of households relying on the private rental market as a long term tenure rather than a transitional one between leaving home and buying a home, as housing costs have increased much faster than wages.   </w:t>
      </w:r>
    </w:p>
    <w:p w14:paraId="038FACC3" w14:textId="77777777" w:rsidR="00DF6146" w:rsidRPr="00DF6146" w:rsidRDefault="009316C0" w:rsidP="007744E4">
      <w:pPr>
        <w:numPr>
          <w:ilvl w:val="0"/>
          <w:numId w:val="8"/>
        </w:numPr>
        <w:spacing w:before="0" w:after="0"/>
        <w:rPr>
          <w:sz w:val="22"/>
          <w:szCs w:val="22"/>
        </w:rPr>
      </w:pPr>
      <w:r w:rsidRPr="00DF6146">
        <w:rPr>
          <w:sz w:val="22"/>
          <w:szCs w:val="22"/>
        </w:rPr>
        <w:lastRenderedPageBreak/>
        <w:t>Subsequent high interest rates and high inflation levels have made it increasingly difficult for lower income households in particular to manage housing costs.</w:t>
      </w:r>
    </w:p>
    <w:p w14:paraId="39E36456" w14:textId="77777777" w:rsidR="009316C0" w:rsidRPr="00BB0BCA" w:rsidRDefault="009316C0" w:rsidP="007744E4">
      <w:pPr>
        <w:numPr>
          <w:ilvl w:val="0"/>
          <w:numId w:val="8"/>
        </w:numPr>
        <w:spacing w:before="0" w:after="0"/>
        <w:rPr>
          <w:sz w:val="22"/>
          <w:szCs w:val="22"/>
        </w:rPr>
      </w:pPr>
      <w:r w:rsidRPr="00BB0BCA">
        <w:rPr>
          <w:sz w:val="22"/>
          <w:szCs w:val="22"/>
        </w:rPr>
        <w:t xml:space="preserve">Noting that the rental market in </w:t>
      </w:r>
      <w:r w:rsidR="00DF6146">
        <w:rPr>
          <w:sz w:val="22"/>
          <w:szCs w:val="22"/>
        </w:rPr>
        <w:t>Sydney</w:t>
      </w:r>
      <w:r w:rsidRPr="00BB0BCA">
        <w:rPr>
          <w:sz w:val="22"/>
          <w:szCs w:val="22"/>
        </w:rPr>
        <w:t xml:space="preserve"> – and NSW generally – is very tight (see the Housing Snapshot on What’s Happening in the Housing Market) </w:t>
      </w:r>
      <w:r>
        <w:rPr>
          <w:sz w:val="22"/>
          <w:szCs w:val="22"/>
        </w:rPr>
        <w:t>i</w:t>
      </w:r>
      <w:r w:rsidRPr="00BB0BCA">
        <w:rPr>
          <w:sz w:val="22"/>
          <w:szCs w:val="22"/>
        </w:rPr>
        <w:t>t is therefore important to encourage tenure diversity and a range of price points to meet local needs</w:t>
      </w:r>
      <w:r>
        <w:rPr>
          <w:sz w:val="22"/>
          <w:szCs w:val="22"/>
        </w:rPr>
        <w:t xml:space="preserve">, including facilitating </w:t>
      </w:r>
      <w:r w:rsidR="00DF6146">
        <w:rPr>
          <w:sz w:val="22"/>
          <w:szCs w:val="22"/>
        </w:rPr>
        <w:t xml:space="preserve">social and </w:t>
      </w:r>
      <w:r>
        <w:rPr>
          <w:sz w:val="22"/>
          <w:szCs w:val="22"/>
        </w:rPr>
        <w:t>affordable housing development</w:t>
      </w:r>
      <w:r w:rsidRPr="00BB0BCA">
        <w:rPr>
          <w:sz w:val="22"/>
          <w:szCs w:val="22"/>
        </w:rPr>
        <w:t>.</w:t>
      </w:r>
    </w:p>
    <w:p w14:paraId="638D07F7" w14:textId="77777777" w:rsidR="009316C0" w:rsidRDefault="009316C0" w:rsidP="009316C0">
      <w:pPr>
        <w:rPr>
          <w:sz w:val="22"/>
          <w:szCs w:val="22"/>
        </w:rPr>
      </w:pPr>
    </w:p>
    <w:p w14:paraId="3477880A" w14:textId="77777777" w:rsidR="00773F9A" w:rsidRPr="00934888" w:rsidRDefault="00773F9A" w:rsidP="003C1DDD">
      <w:pPr>
        <w:pStyle w:val="ListParagraph"/>
        <w:ind w:left="360"/>
        <w:rPr>
          <w:sz w:val="22"/>
          <w:szCs w:val="22"/>
        </w:rPr>
      </w:pPr>
    </w:p>
    <w:p w14:paraId="68AAC464" w14:textId="77777777" w:rsidR="00773F9A" w:rsidRPr="00934888" w:rsidRDefault="00773F9A" w:rsidP="00773F9A"/>
    <w:p w14:paraId="7A3D2B95" w14:textId="77777777" w:rsidR="002F55C3" w:rsidRPr="00EA1AD8" w:rsidRDefault="002F55C3" w:rsidP="002F55C3">
      <w:pPr>
        <w:rPr>
          <w:b/>
          <w:color w:val="008000"/>
          <w:sz w:val="32"/>
        </w:rPr>
      </w:pPr>
      <w:r>
        <w:rPr>
          <w:b/>
          <w:color w:val="008000"/>
          <w:sz w:val="32"/>
        </w:rPr>
        <w:t>Social</w:t>
      </w:r>
      <w:r w:rsidRPr="00EA1AD8">
        <w:rPr>
          <w:b/>
          <w:color w:val="008000"/>
          <w:sz w:val="32"/>
        </w:rPr>
        <w:t xml:space="preserve"> Housing</w:t>
      </w:r>
    </w:p>
    <w:p w14:paraId="17BDEB9E" w14:textId="77777777" w:rsidR="002F55C3" w:rsidRDefault="002F55C3" w:rsidP="007744E4">
      <w:pPr>
        <w:numPr>
          <w:ilvl w:val="0"/>
          <w:numId w:val="6"/>
        </w:numPr>
        <w:spacing w:before="0" w:after="0"/>
        <w:rPr>
          <w:sz w:val="22"/>
          <w:szCs w:val="22"/>
        </w:rPr>
      </w:pPr>
      <w:r w:rsidRPr="00195B00">
        <w:rPr>
          <w:sz w:val="22"/>
          <w:szCs w:val="22"/>
        </w:rPr>
        <w:t>Social housing is secure and affordable rental housing for people on low incomes with housing needs. It includes public, community and Aboriginal housing. Public housing is managed by DCJ while community housing is managed by non-government organisations.</w:t>
      </w:r>
    </w:p>
    <w:p w14:paraId="6C04C2DE" w14:textId="77777777" w:rsidR="002F55C3" w:rsidRDefault="002F55C3" w:rsidP="007744E4">
      <w:pPr>
        <w:numPr>
          <w:ilvl w:val="0"/>
          <w:numId w:val="6"/>
        </w:numPr>
        <w:spacing w:before="0" w:after="0"/>
        <w:rPr>
          <w:sz w:val="22"/>
          <w:szCs w:val="22"/>
        </w:rPr>
      </w:pPr>
      <w:r w:rsidRPr="00EC31FB">
        <w:rPr>
          <w:sz w:val="22"/>
          <w:szCs w:val="22"/>
        </w:rPr>
        <w:t>As at June 2022, there are 154,600 social housing dwellings in NSW</w:t>
      </w:r>
      <w:r>
        <w:rPr>
          <w:sz w:val="22"/>
          <w:szCs w:val="22"/>
        </w:rPr>
        <w:t>, with 96,712 managed by public housing, 48,264 managed by community housing and 9,624 managed exclusively for Aboriginal people – of these the Aboriginal Housing Office (AHO) are responsible for 4,120 and Aboriginal Community Housing Providers (ACHP) manage 5,504.</w:t>
      </w:r>
    </w:p>
    <w:p w14:paraId="0DB4C0E1" w14:textId="77777777" w:rsidR="002F55C3" w:rsidRDefault="002F55C3" w:rsidP="007744E4">
      <w:pPr>
        <w:numPr>
          <w:ilvl w:val="0"/>
          <w:numId w:val="6"/>
        </w:numPr>
        <w:spacing w:before="0" w:after="0"/>
        <w:rPr>
          <w:sz w:val="22"/>
          <w:szCs w:val="22"/>
        </w:rPr>
      </w:pPr>
      <w:r w:rsidRPr="00555830">
        <w:rPr>
          <w:sz w:val="22"/>
          <w:szCs w:val="22"/>
        </w:rPr>
        <w:t xml:space="preserve">The table below shows the number of public housing properties in the </w:t>
      </w:r>
      <w:r>
        <w:rPr>
          <w:sz w:val="22"/>
          <w:szCs w:val="22"/>
        </w:rPr>
        <w:t xml:space="preserve">South District </w:t>
      </w:r>
      <w:r w:rsidRPr="00555830">
        <w:rPr>
          <w:sz w:val="22"/>
          <w:szCs w:val="22"/>
        </w:rPr>
        <w:t>LGAs as at June 20</w:t>
      </w:r>
      <w:r>
        <w:rPr>
          <w:sz w:val="22"/>
          <w:szCs w:val="22"/>
        </w:rPr>
        <w:t>22</w:t>
      </w:r>
      <w:r w:rsidRPr="00555830">
        <w:rPr>
          <w:sz w:val="22"/>
          <w:szCs w:val="22"/>
        </w:rPr>
        <w:t xml:space="preserve">.  Please note that Census data on public housing is not </w:t>
      </w:r>
      <w:r>
        <w:rPr>
          <w:sz w:val="22"/>
          <w:szCs w:val="22"/>
        </w:rPr>
        <w:t>totally</w:t>
      </w:r>
      <w:r w:rsidRPr="00555830">
        <w:rPr>
          <w:sz w:val="22"/>
          <w:szCs w:val="22"/>
        </w:rPr>
        <w:t xml:space="preserve"> accurate, as public housing tenure is under reported in the Census.  The figures below do not include community housing properties.</w:t>
      </w:r>
    </w:p>
    <w:p w14:paraId="6A581F86" w14:textId="77777777" w:rsidR="002F55C3" w:rsidRDefault="002F55C3" w:rsidP="002F55C3">
      <w:pPr>
        <w:spacing w:before="0" w:after="0"/>
        <w:rPr>
          <w:sz w:val="22"/>
          <w:szCs w:val="22"/>
        </w:rPr>
      </w:pPr>
    </w:p>
    <w:p w14:paraId="51BE42D4" w14:textId="77777777" w:rsidR="002F55C3" w:rsidRDefault="002F55C3" w:rsidP="002F55C3">
      <w:pPr>
        <w:spacing w:before="0" w:after="0"/>
        <w:rPr>
          <w:sz w:val="22"/>
          <w:szCs w:val="22"/>
        </w:rPr>
      </w:pPr>
    </w:p>
    <w:p w14:paraId="0B168F1E" w14:textId="77777777" w:rsidR="002F55C3" w:rsidRDefault="002F55C3" w:rsidP="002F55C3">
      <w:pPr>
        <w:spacing w:before="0" w:after="0"/>
        <w:ind w:firstLine="360"/>
        <w:rPr>
          <w:sz w:val="22"/>
          <w:szCs w:val="22"/>
        </w:rPr>
      </w:pPr>
      <w:r w:rsidRPr="002F55C3">
        <w:rPr>
          <w:noProof/>
        </w:rPr>
        <w:drawing>
          <wp:inline distT="0" distB="0" distL="0" distR="0" wp14:anchorId="608C4441" wp14:editId="00235400">
            <wp:extent cx="2609850" cy="1590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1590675"/>
                    </a:xfrm>
                    <a:prstGeom prst="rect">
                      <a:avLst/>
                    </a:prstGeom>
                    <a:noFill/>
                    <a:ln>
                      <a:noFill/>
                    </a:ln>
                  </pic:spPr>
                </pic:pic>
              </a:graphicData>
            </a:graphic>
          </wp:inline>
        </w:drawing>
      </w:r>
    </w:p>
    <w:p w14:paraId="7B7D2C0A" w14:textId="77777777" w:rsidR="002F55C3" w:rsidRDefault="002F55C3" w:rsidP="002F55C3">
      <w:pPr>
        <w:spacing w:before="0" w:after="0"/>
        <w:ind w:firstLine="360"/>
        <w:rPr>
          <w:sz w:val="22"/>
          <w:szCs w:val="22"/>
        </w:rPr>
      </w:pPr>
    </w:p>
    <w:p w14:paraId="0C0F7A0A" w14:textId="77777777" w:rsidR="002F55C3" w:rsidRDefault="002F55C3" w:rsidP="002F55C3">
      <w:pPr>
        <w:spacing w:before="0" w:after="0"/>
        <w:ind w:firstLine="360"/>
        <w:rPr>
          <w:sz w:val="22"/>
          <w:szCs w:val="22"/>
        </w:rPr>
      </w:pPr>
    </w:p>
    <w:p w14:paraId="48C99598" w14:textId="77777777" w:rsidR="002F55C3" w:rsidRDefault="002F55C3" w:rsidP="007744E4">
      <w:pPr>
        <w:pStyle w:val="ListParagraph"/>
        <w:numPr>
          <w:ilvl w:val="0"/>
          <w:numId w:val="7"/>
        </w:numPr>
        <w:rPr>
          <w:sz w:val="22"/>
          <w:szCs w:val="22"/>
        </w:rPr>
      </w:pPr>
      <w:r w:rsidRPr="007C7958">
        <w:rPr>
          <w:sz w:val="22"/>
        </w:rPr>
        <w:t xml:space="preserve">In addition, community housing providers manage a </w:t>
      </w:r>
      <w:r>
        <w:rPr>
          <w:sz w:val="22"/>
        </w:rPr>
        <w:t xml:space="preserve">significant </w:t>
      </w:r>
      <w:r w:rsidRPr="007C7958">
        <w:rPr>
          <w:sz w:val="22"/>
        </w:rPr>
        <w:t xml:space="preserve">number of properties – including social housing, affordable housing, transitional housing and crisis accommodation in </w:t>
      </w:r>
      <w:r>
        <w:rPr>
          <w:sz w:val="22"/>
        </w:rPr>
        <w:t>the Central West and Orana region</w:t>
      </w:r>
      <w:r w:rsidRPr="007C7958">
        <w:rPr>
          <w:sz w:val="22"/>
        </w:rPr>
        <w:t>, as outlined in the table below</w:t>
      </w:r>
      <w:r w:rsidRPr="0056373B">
        <w:rPr>
          <w:sz w:val="22"/>
          <w:szCs w:val="22"/>
        </w:rPr>
        <w:t>.</w:t>
      </w:r>
      <w:r>
        <w:rPr>
          <w:sz w:val="22"/>
          <w:szCs w:val="22"/>
        </w:rPr>
        <w:t xml:space="preserve">  </w:t>
      </w:r>
    </w:p>
    <w:p w14:paraId="787CB864" w14:textId="77777777" w:rsidR="002F55C3" w:rsidRPr="00E77916" w:rsidRDefault="002F55C3" w:rsidP="007744E4">
      <w:pPr>
        <w:pStyle w:val="ListParagraph"/>
        <w:numPr>
          <w:ilvl w:val="0"/>
          <w:numId w:val="7"/>
        </w:numPr>
        <w:rPr>
          <w:sz w:val="22"/>
          <w:szCs w:val="22"/>
        </w:rPr>
      </w:pPr>
      <w:r>
        <w:rPr>
          <w:sz w:val="22"/>
          <w:szCs w:val="22"/>
        </w:rPr>
        <w:t>Note that a</w:t>
      </w:r>
      <w:r w:rsidRPr="00E77916">
        <w:rPr>
          <w:sz w:val="22"/>
          <w:szCs w:val="22"/>
        </w:rPr>
        <w:t>ffordable housing is not the same as social housing.</w:t>
      </w:r>
      <w:r>
        <w:rPr>
          <w:sz w:val="22"/>
          <w:szCs w:val="22"/>
        </w:rPr>
        <w:t xml:space="preserve">  </w:t>
      </w:r>
      <w:r w:rsidRPr="00E77916">
        <w:rPr>
          <w:sz w:val="22"/>
          <w:szCs w:val="22"/>
        </w:rPr>
        <w:t>Affordable housing is open to a broader range of household incomes than social housing. Households do not have to be eligible for social housing to apply for affordable housing, though people who are eligible for social housing may also be eligible for affordable housing properties.</w:t>
      </w:r>
    </w:p>
    <w:p w14:paraId="63BABBCD" w14:textId="77777777" w:rsidR="002F55C3" w:rsidRPr="0056373B" w:rsidRDefault="002F55C3" w:rsidP="007744E4">
      <w:pPr>
        <w:pStyle w:val="ListParagraph"/>
        <w:numPr>
          <w:ilvl w:val="0"/>
          <w:numId w:val="7"/>
        </w:numPr>
        <w:rPr>
          <w:sz w:val="22"/>
          <w:szCs w:val="22"/>
        </w:rPr>
      </w:pPr>
      <w:r w:rsidRPr="00E77916">
        <w:rPr>
          <w:sz w:val="22"/>
          <w:szCs w:val="22"/>
        </w:rPr>
        <w:t xml:space="preserve">Affordable housing is managed more like a private rental property, but there are eligibility criteria and the managers are mostly not for profit community housing providers. </w:t>
      </w:r>
    </w:p>
    <w:p w14:paraId="0DC3A1D5" w14:textId="77777777" w:rsidR="002F55C3" w:rsidRDefault="002F55C3" w:rsidP="002F55C3">
      <w:pPr>
        <w:spacing w:before="0" w:after="0"/>
        <w:ind w:firstLine="360"/>
        <w:rPr>
          <w:sz w:val="22"/>
          <w:szCs w:val="22"/>
        </w:rPr>
      </w:pPr>
    </w:p>
    <w:p w14:paraId="2524339C" w14:textId="77777777" w:rsidR="002F55C3" w:rsidRDefault="002F55C3" w:rsidP="002F55C3">
      <w:pPr>
        <w:spacing w:before="0" w:after="0"/>
        <w:ind w:firstLine="360"/>
        <w:rPr>
          <w:sz w:val="22"/>
          <w:szCs w:val="22"/>
        </w:rPr>
      </w:pPr>
      <w:r w:rsidRPr="002F55C3">
        <w:rPr>
          <w:noProof/>
        </w:rPr>
        <w:drawing>
          <wp:inline distT="0" distB="0" distL="0" distR="0" wp14:anchorId="665A2411" wp14:editId="2B26967E">
            <wp:extent cx="2609850" cy="1343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9850" cy="1343025"/>
                    </a:xfrm>
                    <a:prstGeom prst="rect">
                      <a:avLst/>
                    </a:prstGeom>
                    <a:noFill/>
                    <a:ln>
                      <a:noFill/>
                    </a:ln>
                  </pic:spPr>
                </pic:pic>
              </a:graphicData>
            </a:graphic>
          </wp:inline>
        </w:drawing>
      </w:r>
    </w:p>
    <w:p w14:paraId="78DCA93B" w14:textId="77777777" w:rsidR="002F55C3" w:rsidRDefault="002F55C3" w:rsidP="002F55C3">
      <w:pPr>
        <w:spacing w:before="0" w:after="0"/>
        <w:ind w:firstLine="360"/>
        <w:rPr>
          <w:sz w:val="22"/>
          <w:szCs w:val="22"/>
        </w:rPr>
      </w:pPr>
    </w:p>
    <w:p w14:paraId="44553A2A" w14:textId="77777777" w:rsidR="002F55C3" w:rsidRDefault="002F55C3" w:rsidP="002F55C3">
      <w:pPr>
        <w:spacing w:before="0" w:after="0"/>
        <w:ind w:firstLine="360"/>
        <w:rPr>
          <w:sz w:val="22"/>
          <w:szCs w:val="22"/>
        </w:rPr>
      </w:pPr>
    </w:p>
    <w:p w14:paraId="14A52F4F" w14:textId="77777777" w:rsidR="002F55C3" w:rsidRDefault="002F55C3" w:rsidP="007744E4">
      <w:pPr>
        <w:pStyle w:val="ListParagraph"/>
        <w:numPr>
          <w:ilvl w:val="0"/>
          <w:numId w:val="7"/>
        </w:numPr>
        <w:spacing w:after="120"/>
        <w:rPr>
          <w:sz w:val="22"/>
          <w:szCs w:val="22"/>
        </w:rPr>
      </w:pPr>
      <w:r>
        <w:rPr>
          <w:sz w:val="22"/>
          <w:szCs w:val="22"/>
        </w:rPr>
        <w:t>The next table gives the number of AHO homes and the number managed by ACHPs in Western Sydney</w:t>
      </w:r>
      <w:r w:rsidR="005026FF">
        <w:rPr>
          <w:sz w:val="22"/>
          <w:szCs w:val="22"/>
        </w:rPr>
        <w:t xml:space="preserve"> as at June 2022</w:t>
      </w:r>
      <w:r>
        <w:rPr>
          <w:sz w:val="22"/>
          <w:szCs w:val="22"/>
        </w:rPr>
        <w:t>.</w:t>
      </w:r>
    </w:p>
    <w:p w14:paraId="20149935" w14:textId="77777777" w:rsidR="002F55C3" w:rsidRDefault="002F55C3" w:rsidP="002F55C3">
      <w:pPr>
        <w:spacing w:before="0" w:after="0"/>
        <w:ind w:firstLine="360"/>
        <w:rPr>
          <w:sz w:val="22"/>
          <w:szCs w:val="22"/>
        </w:rPr>
      </w:pPr>
    </w:p>
    <w:p w14:paraId="51463FDF" w14:textId="77777777" w:rsidR="002F55C3" w:rsidRDefault="002F55C3" w:rsidP="002F55C3">
      <w:pPr>
        <w:spacing w:before="0" w:after="0"/>
        <w:ind w:firstLine="360"/>
        <w:rPr>
          <w:sz w:val="22"/>
          <w:szCs w:val="22"/>
        </w:rPr>
      </w:pPr>
      <w:r w:rsidRPr="002F55C3">
        <w:rPr>
          <w:noProof/>
        </w:rPr>
        <w:drawing>
          <wp:inline distT="0" distB="0" distL="0" distR="0" wp14:anchorId="02681A5F" wp14:editId="6EC863A2">
            <wp:extent cx="3124200" cy="5810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24200" cy="581025"/>
                    </a:xfrm>
                    <a:prstGeom prst="rect">
                      <a:avLst/>
                    </a:prstGeom>
                    <a:noFill/>
                    <a:ln>
                      <a:noFill/>
                    </a:ln>
                  </pic:spPr>
                </pic:pic>
              </a:graphicData>
            </a:graphic>
          </wp:inline>
        </w:drawing>
      </w:r>
    </w:p>
    <w:p w14:paraId="0F0D4201" w14:textId="77777777" w:rsidR="002F55C3" w:rsidRPr="00555830" w:rsidRDefault="002F55C3" w:rsidP="002F55C3">
      <w:pPr>
        <w:spacing w:before="0" w:after="0"/>
        <w:ind w:firstLine="360"/>
        <w:rPr>
          <w:sz w:val="22"/>
          <w:szCs w:val="22"/>
        </w:rPr>
      </w:pPr>
    </w:p>
    <w:p w14:paraId="0AA9DABC" w14:textId="77777777" w:rsidR="005026FF" w:rsidRPr="00B40E18" w:rsidRDefault="005026FF" w:rsidP="007744E4">
      <w:pPr>
        <w:pStyle w:val="ListParagraph"/>
        <w:numPr>
          <w:ilvl w:val="0"/>
          <w:numId w:val="2"/>
        </w:numPr>
        <w:spacing w:after="120"/>
        <w:rPr>
          <w:sz w:val="22"/>
          <w:szCs w:val="22"/>
        </w:rPr>
      </w:pPr>
      <w:r w:rsidRPr="00B40E18">
        <w:rPr>
          <w:sz w:val="22"/>
          <w:szCs w:val="22"/>
        </w:rPr>
        <w:t>Note that there are 3 types of social housing available for Aboriginal people:</w:t>
      </w:r>
    </w:p>
    <w:p w14:paraId="313924E1" w14:textId="77777777" w:rsidR="005026FF" w:rsidRPr="00B40E18" w:rsidRDefault="005026FF" w:rsidP="007744E4">
      <w:pPr>
        <w:pStyle w:val="ListParagraph"/>
        <w:numPr>
          <w:ilvl w:val="1"/>
          <w:numId w:val="2"/>
        </w:numPr>
        <w:spacing w:after="120"/>
        <w:rPr>
          <w:sz w:val="22"/>
          <w:szCs w:val="22"/>
        </w:rPr>
      </w:pPr>
      <w:r w:rsidRPr="00B40E18">
        <w:rPr>
          <w:sz w:val="22"/>
          <w:szCs w:val="22"/>
        </w:rPr>
        <w:t xml:space="preserve">Public housing – these properties are managed by the Department of Communities and Justice (DCJ). </w:t>
      </w:r>
    </w:p>
    <w:p w14:paraId="7848A99F" w14:textId="77777777" w:rsidR="005026FF" w:rsidRPr="00B40E18" w:rsidRDefault="005026FF" w:rsidP="007744E4">
      <w:pPr>
        <w:pStyle w:val="ListParagraph"/>
        <w:numPr>
          <w:ilvl w:val="1"/>
          <w:numId w:val="2"/>
        </w:numPr>
        <w:spacing w:after="120"/>
        <w:rPr>
          <w:sz w:val="22"/>
          <w:szCs w:val="22"/>
        </w:rPr>
      </w:pPr>
      <w:r w:rsidRPr="00B40E18">
        <w:rPr>
          <w:sz w:val="22"/>
          <w:szCs w:val="22"/>
        </w:rPr>
        <w:t>Aboriginal Housing Office homes – these are properties owned by the Aboriginal Housing Office and managed by DCJ.</w:t>
      </w:r>
    </w:p>
    <w:p w14:paraId="16A02975" w14:textId="77777777" w:rsidR="005026FF" w:rsidRDefault="005026FF" w:rsidP="007744E4">
      <w:pPr>
        <w:pStyle w:val="ListParagraph"/>
        <w:numPr>
          <w:ilvl w:val="1"/>
          <w:numId w:val="2"/>
        </w:numPr>
        <w:spacing w:after="120"/>
        <w:rPr>
          <w:sz w:val="22"/>
          <w:szCs w:val="22"/>
        </w:rPr>
      </w:pPr>
      <w:r w:rsidRPr="00B40E18">
        <w:rPr>
          <w:sz w:val="22"/>
          <w:szCs w:val="22"/>
        </w:rPr>
        <w:t xml:space="preserve">Community housing properties – these properties are managed by </w:t>
      </w:r>
      <w:r>
        <w:rPr>
          <w:sz w:val="22"/>
          <w:szCs w:val="22"/>
        </w:rPr>
        <w:t>community housing providers and Aboriginal community housing providers</w:t>
      </w:r>
      <w:r w:rsidRPr="00B40E18">
        <w:rPr>
          <w:sz w:val="22"/>
          <w:szCs w:val="22"/>
        </w:rPr>
        <w:t>.</w:t>
      </w:r>
    </w:p>
    <w:p w14:paraId="1963282D" w14:textId="77777777" w:rsidR="00EE3C80" w:rsidRPr="005026FF" w:rsidRDefault="00450F8A" w:rsidP="007744E4">
      <w:pPr>
        <w:pStyle w:val="ListParagraph"/>
        <w:numPr>
          <w:ilvl w:val="0"/>
          <w:numId w:val="2"/>
        </w:numPr>
        <w:spacing w:after="120"/>
        <w:rPr>
          <w:sz w:val="22"/>
          <w:szCs w:val="22"/>
        </w:rPr>
      </w:pPr>
      <w:r w:rsidRPr="005026FF">
        <w:rPr>
          <w:sz w:val="22"/>
          <w:szCs w:val="22"/>
        </w:rPr>
        <w:t xml:space="preserve">The table below shows the expected waiting times for general housing approved social housing applicants (not for priority housing applicants) by bedroom category in the </w:t>
      </w:r>
      <w:r w:rsidR="001E2A53" w:rsidRPr="005026FF">
        <w:rPr>
          <w:sz w:val="22"/>
          <w:szCs w:val="22"/>
        </w:rPr>
        <w:t>Central City at June 2022</w:t>
      </w:r>
      <w:r w:rsidRPr="005026FF">
        <w:rPr>
          <w:sz w:val="22"/>
          <w:szCs w:val="22"/>
        </w:rPr>
        <w:t xml:space="preserve">. </w:t>
      </w:r>
    </w:p>
    <w:p w14:paraId="0C090272" w14:textId="77777777" w:rsidR="001E2A53" w:rsidRPr="001E2A53" w:rsidRDefault="001E2A53" w:rsidP="001E2A53"/>
    <w:p w14:paraId="50AF7673" w14:textId="77777777" w:rsidR="00EE3C80" w:rsidRDefault="001E2A53" w:rsidP="00516195">
      <w:pPr>
        <w:rPr>
          <w:sz w:val="22"/>
        </w:rPr>
      </w:pPr>
      <w:r w:rsidRPr="001E2A53">
        <w:rPr>
          <w:noProof/>
        </w:rPr>
        <w:drawing>
          <wp:inline distT="0" distB="0" distL="0" distR="0" wp14:anchorId="18A335BE" wp14:editId="48517631">
            <wp:extent cx="5257800" cy="1552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57800" cy="1552575"/>
                    </a:xfrm>
                    <a:prstGeom prst="rect">
                      <a:avLst/>
                    </a:prstGeom>
                    <a:noFill/>
                    <a:ln>
                      <a:noFill/>
                    </a:ln>
                  </pic:spPr>
                </pic:pic>
              </a:graphicData>
            </a:graphic>
          </wp:inline>
        </w:drawing>
      </w:r>
    </w:p>
    <w:p w14:paraId="76600BF7" w14:textId="77777777" w:rsidR="001E2A53" w:rsidRDefault="001E2A53" w:rsidP="00516195">
      <w:pPr>
        <w:rPr>
          <w:sz w:val="22"/>
        </w:rPr>
      </w:pPr>
    </w:p>
    <w:p w14:paraId="5DB7FC0A" w14:textId="77777777" w:rsidR="00450F8A" w:rsidRDefault="00516195" w:rsidP="00752A34">
      <w:pPr>
        <w:rPr>
          <w:rStyle w:val="Hyperlink"/>
          <w:sz w:val="22"/>
        </w:rPr>
      </w:pPr>
      <w:r w:rsidRPr="00EE3C80">
        <w:rPr>
          <w:sz w:val="22"/>
        </w:rPr>
        <w:t xml:space="preserve">More information on Expected Waiting Times for Public Housing is available on the </w:t>
      </w:r>
      <w:r w:rsidR="008E5B68">
        <w:rPr>
          <w:sz w:val="22"/>
        </w:rPr>
        <w:t xml:space="preserve">DCJ </w:t>
      </w:r>
      <w:r w:rsidRPr="00EE3C80">
        <w:rPr>
          <w:sz w:val="22"/>
        </w:rPr>
        <w:t xml:space="preserve">website by region at: </w:t>
      </w:r>
      <w:hyperlink r:id="rId20" w:history="1">
        <w:r w:rsidRPr="00EE3C80">
          <w:rPr>
            <w:rStyle w:val="Hyperlink"/>
            <w:sz w:val="22"/>
          </w:rPr>
          <w:t>http://www.housingpathways.nsw.gov.au/How+to+Apply/Expected+Waiting+Times/</w:t>
        </w:r>
      </w:hyperlink>
    </w:p>
    <w:p w14:paraId="764CE877" w14:textId="77777777" w:rsidR="001E2A53" w:rsidRDefault="001E2A53" w:rsidP="00752A34">
      <w:pPr>
        <w:rPr>
          <w:rStyle w:val="Hyperlink"/>
          <w:sz w:val="22"/>
        </w:rPr>
      </w:pPr>
    </w:p>
    <w:p w14:paraId="7F7F1F74" w14:textId="77777777" w:rsidR="001E2A53" w:rsidRPr="00752A34" w:rsidRDefault="001E2A53" w:rsidP="00752A34">
      <w:pPr>
        <w:rPr>
          <w:sz w:val="22"/>
        </w:rPr>
      </w:pPr>
    </w:p>
    <w:p w14:paraId="4AE699A7" w14:textId="77777777" w:rsidR="00573960" w:rsidRPr="00952F77" w:rsidRDefault="00573960" w:rsidP="00573960">
      <w:pPr>
        <w:pStyle w:val="Heading2"/>
      </w:pPr>
      <w:r w:rsidRPr="00952F77">
        <w:t>The Gap</w:t>
      </w:r>
    </w:p>
    <w:p w14:paraId="0BA186E5" w14:textId="77777777" w:rsidR="00952F77" w:rsidRPr="00952F77" w:rsidRDefault="00071AC1" w:rsidP="00952F77">
      <w:pPr>
        <w:numPr>
          <w:ilvl w:val="0"/>
          <w:numId w:val="19"/>
        </w:numPr>
        <w:spacing w:before="0" w:after="0"/>
        <w:rPr>
          <w:sz w:val="22"/>
          <w:szCs w:val="22"/>
        </w:rPr>
      </w:pPr>
      <w:r w:rsidRPr="00952F77">
        <w:rPr>
          <w:sz w:val="22"/>
        </w:rPr>
        <w:t>There is a large and growing gap between the increasing number of low income earners in the private rental market and the declining number of private rental properties that are affordable for low income households</w:t>
      </w:r>
      <w:r w:rsidR="00952F77">
        <w:rPr>
          <w:sz w:val="22"/>
        </w:rPr>
        <w:t xml:space="preserve"> in Central </w:t>
      </w:r>
      <w:r w:rsidR="00826AE1">
        <w:rPr>
          <w:sz w:val="22"/>
        </w:rPr>
        <w:t>C</w:t>
      </w:r>
      <w:r w:rsidR="00952F77">
        <w:rPr>
          <w:sz w:val="22"/>
        </w:rPr>
        <w:t>ity</w:t>
      </w:r>
      <w:r w:rsidRPr="00952F77">
        <w:rPr>
          <w:sz w:val="22"/>
        </w:rPr>
        <w:t>.</w:t>
      </w:r>
      <w:r w:rsidR="00952F77">
        <w:rPr>
          <w:sz w:val="22"/>
        </w:rPr>
        <w:t xml:space="preserve">  There is also extremely limited opportunity for low income purchasers to buy a home in Central City.</w:t>
      </w:r>
    </w:p>
    <w:p w14:paraId="4EC0AFE5" w14:textId="77777777" w:rsidR="00952F77" w:rsidRPr="00DE0BFE" w:rsidRDefault="00952F77" w:rsidP="00952F77">
      <w:pPr>
        <w:numPr>
          <w:ilvl w:val="0"/>
          <w:numId w:val="19"/>
        </w:numPr>
        <w:spacing w:before="0" w:after="0"/>
        <w:rPr>
          <w:sz w:val="22"/>
          <w:szCs w:val="22"/>
        </w:rPr>
      </w:pPr>
      <w:r w:rsidRPr="00DE0BFE">
        <w:rPr>
          <w:sz w:val="22"/>
          <w:szCs w:val="22"/>
        </w:rPr>
        <w:t xml:space="preserve">Low income (including very low income) households have increased by </w:t>
      </w:r>
      <w:r>
        <w:rPr>
          <w:sz w:val="22"/>
          <w:szCs w:val="22"/>
        </w:rPr>
        <w:t>7.0</w:t>
      </w:r>
      <w:r w:rsidRPr="00DE0BFE">
        <w:rPr>
          <w:sz w:val="22"/>
          <w:szCs w:val="22"/>
        </w:rPr>
        <w:t>% between 20</w:t>
      </w:r>
      <w:r>
        <w:rPr>
          <w:sz w:val="22"/>
          <w:szCs w:val="22"/>
        </w:rPr>
        <w:t>16 and 2021</w:t>
      </w:r>
      <w:r w:rsidRPr="00DE0BFE">
        <w:rPr>
          <w:sz w:val="22"/>
          <w:szCs w:val="22"/>
        </w:rPr>
        <w:t xml:space="preserve"> (from </w:t>
      </w:r>
      <w:r w:rsidR="00826AE1">
        <w:rPr>
          <w:sz w:val="22"/>
          <w:szCs w:val="22"/>
        </w:rPr>
        <w:t xml:space="preserve">122,001 </w:t>
      </w:r>
      <w:r>
        <w:rPr>
          <w:sz w:val="22"/>
          <w:szCs w:val="22"/>
        </w:rPr>
        <w:t xml:space="preserve">to </w:t>
      </w:r>
      <w:r w:rsidR="00826AE1">
        <w:rPr>
          <w:sz w:val="22"/>
          <w:szCs w:val="22"/>
        </w:rPr>
        <w:t>130,524</w:t>
      </w:r>
      <w:r w:rsidRPr="00DE0BFE">
        <w:rPr>
          <w:sz w:val="22"/>
          <w:szCs w:val="22"/>
        </w:rPr>
        <w:t xml:space="preserve">).  Over the same time period, low income </w:t>
      </w:r>
      <w:r w:rsidRPr="00DE0BFE">
        <w:rPr>
          <w:b/>
          <w:sz w:val="22"/>
          <w:szCs w:val="22"/>
        </w:rPr>
        <w:t xml:space="preserve">rental </w:t>
      </w:r>
      <w:r w:rsidRPr="00DE0BFE">
        <w:rPr>
          <w:sz w:val="22"/>
          <w:szCs w:val="22"/>
        </w:rPr>
        <w:t xml:space="preserve">households have increased by </w:t>
      </w:r>
      <w:r w:rsidR="00826AE1">
        <w:rPr>
          <w:sz w:val="22"/>
          <w:szCs w:val="22"/>
        </w:rPr>
        <w:t>29</w:t>
      </w:r>
      <w:r>
        <w:rPr>
          <w:sz w:val="22"/>
          <w:szCs w:val="22"/>
        </w:rPr>
        <w:t>.7</w:t>
      </w:r>
      <w:r w:rsidRPr="00DE0BFE">
        <w:rPr>
          <w:sz w:val="22"/>
          <w:szCs w:val="22"/>
        </w:rPr>
        <w:t>% in Central C</w:t>
      </w:r>
      <w:r w:rsidR="00826AE1">
        <w:rPr>
          <w:sz w:val="22"/>
          <w:szCs w:val="22"/>
        </w:rPr>
        <w:t>ity</w:t>
      </w:r>
      <w:r w:rsidRPr="00DE0BFE">
        <w:rPr>
          <w:sz w:val="22"/>
          <w:szCs w:val="22"/>
        </w:rPr>
        <w:t>.  Clearly low income rental households are increasing at a faster rate than low income households generally</w:t>
      </w:r>
      <w:r w:rsidR="00826AE1">
        <w:rPr>
          <w:sz w:val="22"/>
          <w:szCs w:val="22"/>
        </w:rPr>
        <w:t xml:space="preserve"> in this District</w:t>
      </w:r>
      <w:r w:rsidRPr="00DE0BFE">
        <w:rPr>
          <w:sz w:val="22"/>
          <w:szCs w:val="22"/>
        </w:rPr>
        <w:t>.</w:t>
      </w:r>
    </w:p>
    <w:p w14:paraId="5128C094" w14:textId="77777777" w:rsidR="00952F77" w:rsidRPr="007F5E5F" w:rsidRDefault="00952F77" w:rsidP="00952F77">
      <w:pPr>
        <w:numPr>
          <w:ilvl w:val="0"/>
          <w:numId w:val="19"/>
        </w:numPr>
        <w:spacing w:before="0" w:after="0"/>
        <w:rPr>
          <w:sz w:val="22"/>
          <w:szCs w:val="22"/>
        </w:rPr>
      </w:pPr>
      <w:r w:rsidRPr="00524F20">
        <w:rPr>
          <w:sz w:val="22"/>
          <w:szCs w:val="22"/>
        </w:rPr>
        <w:t xml:space="preserve">Yet affordable </w:t>
      </w:r>
      <w:r>
        <w:rPr>
          <w:sz w:val="22"/>
          <w:szCs w:val="22"/>
        </w:rPr>
        <w:t xml:space="preserve">private </w:t>
      </w:r>
      <w:r w:rsidRPr="00524F20">
        <w:rPr>
          <w:sz w:val="22"/>
          <w:szCs w:val="22"/>
        </w:rPr>
        <w:t>rental</w:t>
      </w:r>
      <w:r>
        <w:rPr>
          <w:sz w:val="22"/>
          <w:szCs w:val="22"/>
        </w:rPr>
        <w:t xml:space="preserve"> housing</w:t>
      </w:r>
      <w:r w:rsidRPr="00524F20">
        <w:rPr>
          <w:sz w:val="22"/>
          <w:szCs w:val="22"/>
        </w:rPr>
        <w:t xml:space="preserve">, as measured by new rental bonds lodged that were affordable to low income households, declined by </w:t>
      </w:r>
      <w:r w:rsidR="00826AE1">
        <w:rPr>
          <w:sz w:val="22"/>
          <w:szCs w:val="22"/>
        </w:rPr>
        <w:t>7.7</w:t>
      </w:r>
      <w:r w:rsidRPr="00524F20">
        <w:rPr>
          <w:sz w:val="22"/>
          <w:szCs w:val="22"/>
        </w:rPr>
        <w:t xml:space="preserve">% </w:t>
      </w:r>
      <w:r w:rsidR="00826AE1">
        <w:rPr>
          <w:sz w:val="22"/>
          <w:szCs w:val="22"/>
        </w:rPr>
        <w:t>in Central City</w:t>
      </w:r>
      <w:r w:rsidRPr="00524F20">
        <w:rPr>
          <w:sz w:val="22"/>
          <w:szCs w:val="22"/>
        </w:rPr>
        <w:t xml:space="preserve"> </w:t>
      </w:r>
      <w:r w:rsidR="00826AE1">
        <w:rPr>
          <w:sz w:val="22"/>
          <w:szCs w:val="22"/>
        </w:rPr>
        <w:t xml:space="preserve">just </w:t>
      </w:r>
      <w:r w:rsidRPr="007F5E5F">
        <w:rPr>
          <w:sz w:val="22"/>
          <w:szCs w:val="22"/>
        </w:rPr>
        <w:t>between 20</w:t>
      </w:r>
      <w:r w:rsidR="00826AE1">
        <w:rPr>
          <w:sz w:val="22"/>
          <w:szCs w:val="22"/>
        </w:rPr>
        <w:t>21</w:t>
      </w:r>
      <w:r w:rsidRPr="007F5E5F">
        <w:rPr>
          <w:sz w:val="22"/>
          <w:szCs w:val="22"/>
        </w:rPr>
        <w:t xml:space="preserve"> and 20</w:t>
      </w:r>
      <w:r w:rsidR="007C0410">
        <w:rPr>
          <w:sz w:val="22"/>
          <w:szCs w:val="22"/>
        </w:rPr>
        <w:t>2</w:t>
      </w:r>
      <w:r w:rsidR="00826AE1">
        <w:rPr>
          <w:sz w:val="22"/>
          <w:szCs w:val="22"/>
        </w:rPr>
        <w:t>2</w:t>
      </w:r>
      <w:r w:rsidRPr="007F5E5F">
        <w:rPr>
          <w:sz w:val="22"/>
          <w:szCs w:val="22"/>
        </w:rPr>
        <w:t>.</w:t>
      </w:r>
    </w:p>
    <w:p w14:paraId="2370C62F" w14:textId="77777777" w:rsidR="00952F77" w:rsidRPr="007F5E5F" w:rsidRDefault="00952F77" w:rsidP="00952F77">
      <w:pPr>
        <w:numPr>
          <w:ilvl w:val="0"/>
          <w:numId w:val="20"/>
        </w:numPr>
        <w:tabs>
          <w:tab w:val="clear" w:pos="720"/>
          <w:tab w:val="num" w:pos="360"/>
        </w:tabs>
        <w:spacing w:before="0" w:after="0"/>
        <w:ind w:left="360"/>
        <w:rPr>
          <w:sz w:val="22"/>
          <w:szCs w:val="22"/>
        </w:rPr>
      </w:pPr>
      <w:r>
        <w:rPr>
          <w:sz w:val="22"/>
          <w:szCs w:val="22"/>
        </w:rPr>
        <w:t>T</w:t>
      </w:r>
      <w:r w:rsidRPr="007F5E5F">
        <w:rPr>
          <w:sz w:val="22"/>
          <w:szCs w:val="22"/>
        </w:rPr>
        <w:t>here is a clear need for more affordable rental accommodation to begin to address the significant demand supply imbalance, particularly for lower income households and the increasing number of seniors and frail aged.</w:t>
      </w:r>
    </w:p>
    <w:p w14:paraId="386FB970" w14:textId="77777777" w:rsidR="00952F77" w:rsidRPr="00EF4F73" w:rsidRDefault="00952F77" w:rsidP="00952F77">
      <w:pPr>
        <w:numPr>
          <w:ilvl w:val="0"/>
          <w:numId w:val="20"/>
        </w:numPr>
        <w:tabs>
          <w:tab w:val="clear" w:pos="720"/>
          <w:tab w:val="num" w:pos="360"/>
        </w:tabs>
        <w:spacing w:before="0" w:after="0"/>
        <w:ind w:left="360"/>
        <w:rPr>
          <w:sz w:val="22"/>
          <w:szCs w:val="22"/>
        </w:rPr>
      </w:pPr>
      <w:r>
        <w:rPr>
          <w:sz w:val="22"/>
          <w:szCs w:val="22"/>
        </w:rPr>
        <w:t>T</w:t>
      </w:r>
      <w:r w:rsidRPr="00EF4F73">
        <w:rPr>
          <w:sz w:val="22"/>
          <w:szCs w:val="22"/>
        </w:rPr>
        <w:t xml:space="preserve">he vacancy rate in </w:t>
      </w:r>
      <w:r>
        <w:rPr>
          <w:sz w:val="22"/>
          <w:szCs w:val="22"/>
        </w:rPr>
        <w:t xml:space="preserve">Sydney and regional areas of NSW has been tight for </w:t>
      </w:r>
      <w:r w:rsidR="00BA226D">
        <w:rPr>
          <w:sz w:val="22"/>
          <w:szCs w:val="22"/>
        </w:rPr>
        <w:t>over a year</w:t>
      </w:r>
      <w:r>
        <w:rPr>
          <w:sz w:val="22"/>
          <w:szCs w:val="22"/>
        </w:rPr>
        <w:t>, indicating a chronic shortage of rental accommodation</w:t>
      </w:r>
      <w:r w:rsidR="007C0410">
        <w:rPr>
          <w:sz w:val="22"/>
          <w:szCs w:val="22"/>
        </w:rPr>
        <w:t>.  A</w:t>
      </w:r>
      <w:r>
        <w:rPr>
          <w:sz w:val="22"/>
          <w:szCs w:val="22"/>
        </w:rPr>
        <w:t xml:space="preserve">t March 2023 </w:t>
      </w:r>
      <w:r w:rsidR="007C0410">
        <w:rPr>
          <w:sz w:val="22"/>
          <w:szCs w:val="22"/>
        </w:rPr>
        <w:t xml:space="preserve">the vacancy rate </w:t>
      </w:r>
      <w:r>
        <w:rPr>
          <w:sz w:val="22"/>
          <w:szCs w:val="22"/>
        </w:rPr>
        <w:t>was just 1.</w:t>
      </w:r>
      <w:r w:rsidR="00C620B2">
        <w:rPr>
          <w:sz w:val="22"/>
          <w:szCs w:val="22"/>
        </w:rPr>
        <w:t>3</w:t>
      </w:r>
      <w:r>
        <w:rPr>
          <w:sz w:val="22"/>
          <w:szCs w:val="22"/>
        </w:rPr>
        <w:t>% in</w:t>
      </w:r>
      <w:r w:rsidR="00C620B2">
        <w:rPr>
          <w:sz w:val="22"/>
          <w:szCs w:val="22"/>
        </w:rPr>
        <w:t xml:space="preserve"> Sydney overall, with 0.8% in the middle ring and 1.7% in the outer ring</w:t>
      </w:r>
      <w:r>
        <w:rPr>
          <w:sz w:val="22"/>
          <w:szCs w:val="22"/>
        </w:rPr>
        <w:t xml:space="preserve">. </w:t>
      </w:r>
    </w:p>
    <w:p w14:paraId="3129D8A7" w14:textId="77777777" w:rsidR="00000E6B" w:rsidRPr="000B3392" w:rsidRDefault="00000E6B" w:rsidP="00000E6B">
      <w:pPr>
        <w:numPr>
          <w:ilvl w:val="0"/>
          <w:numId w:val="20"/>
        </w:numPr>
        <w:tabs>
          <w:tab w:val="clear" w:pos="720"/>
          <w:tab w:val="num" w:pos="360"/>
        </w:tabs>
        <w:spacing w:before="0" w:after="0"/>
        <w:ind w:left="360"/>
        <w:rPr>
          <w:sz w:val="22"/>
          <w:szCs w:val="22"/>
        </w:rPr>
      </w:pPr>
      <w:r w:rsidRPr="000B3392">
        <w:rPr>
          <w:sz w:val="22"/>
          <w:szCs w:val="22"/>
        </w:rPr>
        <w:t xml:space="preserve">The strong increase in rental levels, decline in rental affordability for lower income earners and significant loss of affordable rental properties, combined with the very high proportion and increase in both low income and low income rental households, further demonstrates the need to increase the supply of private rental housing and more particularly, affordable rental housing for long term tenants.    </w:t>
      </w:r>
    </w:p>
    <w:p w14:paraId="2D6945C7" w14:textId="77777777" w:rsidR="00000E6B" w:rsidRPr="00764861" w:rsidRDefault="00000E6B" w:rsidP="00000E6B">
      <w:pPr>
        <w:numPr>
          <w:ilvl w:val="0"/>
          <w:numId w:val="20"/>
        </w:numPr>
        <w:tabs>
          <w:tab w:val="clear" w:pos="720"/>
          <w:tab w:val="num" w:pos="360"/>
        </w:tabs>
        <w:spacing w:before="0" w:after="0"/>
        <w:ind w:left="360"/>
        <w:rPr>
          <w:sz w:val="22"/>
          <w:szCs w:val="22"/>
        </w:rPr>
      </w:pPr>
      <w:r w:rsidRPr="00764861">
        <w:rPr>
          <w:sz w:val="22"/>
          <w:szCs w:val="22"/>
        </w:rPr>
        <w:t xml:space="preserve">The graph below </w:t>
      </w:r>
      <w:r>
        <w:rPr>
          <w:sz w:val="22"/>
          <w:szCs w:val="22"/>
        </w:rPr>
        <w:t xml:space="preserve">shows the decline in </w:t>
      </w:r>
      <w:r w:rsidRPr="00764861">
        <w:rPr>
          <w:sz w:val="22"/>
          <w:szCs w:val="22"/>
        </w:rPr>
        <w:t>the number of new bonds lodged that were affordable to rent for low income households</w:t>
      </w:r>
      <w:r>
        <w:rPr>
          <w:sz w:val="22"/>
          <w:szCs w:val="22"/>
        </w:rPr>
        <w:t xml:space="preserve"> </w:t>
      </w:r>
      <w:r w:rsidR="003C53C7">
        <w:rPr>
          <w:sz w:val="22"/>
          <w:szCs w:val="22"/>
        </w:rPr>
        <w:t xml:space="preserve">in Central City </w:t>
      </w:r>
      <w:r w:rsidR="00E31082">
        <w:rPr>
          <w:sz w:val="22"/>
          <w:szCs w:val="22"/>
        </w:rPr>
        <w:t>between</w:t>
      </w:r>
      <w:r w:rsidR="003C53C7">
        <w:rPr>
          <w:sz w:val="22"/>
          <w:szCs w:val="22"/>
        </w:rPr>
        <w:t xml:space="preserve"> 2021 and</w:t>
      </w:r>
      <w:r>
        <w:rPr>
          <w:sz w:val="22"/>
          <w:szCs w:val="22"/>
        </w:rPr>
        <w:t xml:space="preserve"> 2022</w:t>
      </w:r>
      <w:r w:rsidRPr="00764861">
        <w:rPr>
          <w:sz w:val="22"/>
          <w:szCs w:val="22"/>
        </w:rPr>
        <w:t xml:space="preserve">. </w:t>
      </w:r>
    </w:p>
    <w:p w14:paraId="3AA6A53B" w14:textId="77777777" w:rsidR="00D6418E" w:rsidRDefault="00D6418E" w:rsidP="00000E6B">
      <w:pPr>
        <w:rPr>
          <w:sz w:val="22"/>
        </w:rPr>
      </w:pPr>
    </w:p>
    <w:p w14:paraId="261D9C48" w14:textId="77777777" w:rsidR="00000E6B" w:rsidRDefault="003C53C7" w:rsidP="003C53C7">
      <w:pPr>
        <w:ind w:firstLine="360"/>
        <w:rPr>
          <w:sz w:val="22"/>
        </w:rPr>
      </w:pPr>
      <w:r>
        <w:rPr>
          <w:noProof/>
          <w:sz w:val="22"/>
        </w:rPr>
        <w:drawing>
          <wp:inline distT="0" distB="0" distL="0" distR="0" wp14:anchorId="78300A2B" wp14:editId="660301B0">
            <wp:extent cx="4584700" cy="3255645"/>
            <wp:effectExtent l="0" t="0" r="635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4700" cy="3255645"/>
                    </a:xfrm>
                    <a:prstGeom prst="rect">
                      <a:avLst/>
                    </a:prstGeom>
                    <a:noFill/>
                  </pic:spPr>
                </pic:pic>
              </a:graphicData>
            </a:graphic>
          </wp:inline>
        </w:drawing>
      </w:r>
    </w:p>
    <w:p w14:paraId="59013372" w14:textId="77777777" w:rsidR="003C53C7" w:rsidRDefault="003C53C7" w:rsidP="003C53C7">
      <w:pPr>
        <w:numPr>
          <w:ilvl w:val="0"/>
          <w:numId w:val="20"/>
        </w:numPr>
        <w:tabs>
          <w:tab w:val="clear" w:pos="720"/>
          <w:tab w:val="num" w:pos="360"/>
        </w:tabs>
        <w:spacing w:before="0" w:after="0"/>
        <w:ind w:left="360"/>
        <w:rPr>
          <w:sz w:val="22"/>
          <w:szCs w:val="22"/>
        </w:rPr>
      </w:pPr>
      <w:r>
        <w:rPr>
          <w:sz w:val="22"/>
          <w:szCs w:val="22"/>
        </w:rPr>
        <w:lastRenderedPageBreak/>
        <w:t xml:space="preserve">The next graph compares changes in population, income, renters and housing stress between 2016 and 2021.  It is clear that population has increased </w:t>
      </w:r>
      <w:r w:rsidR="00E1166C">
        <w:rPr>
          <w:sz w:val="22"/>
          <w:szCs w:val="22"/>
        </w:rPr>
        <w:t>at a greater rate than low income households</w:t>
      </w:r>
      <w:r>
        <w:rPr>
          <w:sz w:val="22"/>
          <w:szCs w:val="22"/>
        </w:rPr>
        <w:t xml:space="preserve"> between 2016 and 2021 in the Central </w:t>
      </w:r>
      <w:r w:rsidR="00E1166C">
        <w:rPr>
          <w:sz w:val="22"/>
          <w:szCs w:val="22"/>
        </w:rPr>
        <w:t>City.  Y</w:t>
      </w:r>
      <w:r>
        <w:rPr>
          <w:sz w:val="22"/>
          <w:szCs w:val="22"/>
        </w:rPr>
        <w:t xml:space="preserve">et low income </w:t>
      </w:r>
      <w:r w:rsidR="00E1166C" w:rsidRPr="00E1166C">
        <w:rPr>
          <w:b/>
          <w:sz w:val="22"/>
          <w:szCs w:val="22"/>
        </w:rPr>
        <w:t>rental</w:t>
      </w:r>
      <w:r w:rsidR="00E1166C">
        <w:rPr>
          <w:sz w:val="22"/>
          <w:szCs w:val="22"/>
        </w:rPr>
        <w:t xml:space="preserve"> </w:t>
      </w:r>
      <w:r>
        <w:rPr>
          <w:sz w:val="22"/>
          <w:szCs w:val="22"/>
        </w:rPr>
        <w:t xml:space="preserve">households have increased at a much faster rate </w:t>
      </w:r>
      <w:r w:rsidR="00E1166C">
        <w:rPr>
          <w:sz w:val="22"/>
          <w:szCs w:val="22"/>
        </w:rPr>
        <w:t xml:space="preserve">than low income households and </w:t>
      </w:r>
      <w:r>
        <w:rPr>
          <w:sz w:val="22"/>
          <w:szCs w:val="22"/>
        </w:rPr>
        <w:t xml:space="preserve">the population generally.  </w:t>
      </w:r>
      <w:r w:rsidR="00E1166C">
        <w:rPr>
          <w:sz w:val="22"/>
          <w:szCs w:val="22"/>
        </w:rPr>
        <w:t>Of note also is that the number of</w:t>
      </w:r>
      <w:r>
        <w:rPr>
          <w:sz w:val="22"/>
          <w:szCs w:val="22"/>
        </w:rPr>
        <w:t xml:space="preserve"> CRA recipients are growing more quickly</w:t>
      </w:r>
      <w:r w:rsidR="00E1166C">
        <w:rPr>
          <w:sz w:val="22"/>
          <w:szCs w:val="22"/>
        </w:rPr>
        <w:t xml:space="preserve"> than the population generally, and CRA recipients in housing stress are increasing more rapidly than low income households in Central City.</w:t>
      </w:r>
    </w:p>
    <w:p w14:paraId="1E1F8C96" w14:textId="77777777" w:rsidR="001C2D6F" w:rsidRDefault="001C2D6F" w:rsidP="00000E6B">
      <w:pPr>
        <w:rPr>
          <w:sz w:val="22"/>
        </w:rPr>
      </w:pPr>
    </w:p>
    <w:p w14:paraId="3B6106BF" w14:textId="77777777" w:rsidR="00E1166C" w:rsidRDefault="00E1166C" w:rsidP="00000E6B">
      <w:pPr>
        <w:rPr>
          <w:sz w:val="22"/>
        </w:rPr>
      </w:pPr>
      <w:r>
        <w:rPr>
          <w:noProof/>
          <w:sz w:val="22"/>
        </w:rPr>
        <w:drawing>
          <wp:inline distT="0" distB="0" distL="0" distR="0" wp14:anchorId="1C64B6B3" wp14:editId="5EC1AADF">
            <wp:extent cx="6246971" cy="2971800"/>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49376" cy="2972944"/>
                    </a:xfrm>
                    <a:prstGeom prst="rect">
                      <a:avLst/>
                    </a:prstGeom>
                    <a:noFill/>
                  </pic:spPr>
                </pic:pic>
              </a:graphicData>
            </a:graphic>
          </wp:inline>
        </w:drawing>
      </w:r>
    </w:p>
    <w:p w14:paraId="144CA654" w14:textId="77777777" w:rsidR="00000E6B" w:rsidRDefault="00000E6B" w:rsidP="00000E6B">
      <w:pPr>
        <w:rPr>
          <w:sz w:val="22"/>
        </w:rPr>
      </w:pPr>
    </w:p>
    <w:p w14:paraId="5B95AF4B" w14:textId="77777777" w:rsidR="005F6970" w:rsidRPr="002D0174" w:rsidRDefault="005F6970" w:rsidP="005F6970">
      <w:pPr>
        <w:pStyle w:val="ListParagraph"/>
        <w:numPr>
          <w:ilvl w:val="0"/>
          <w:numId w:val="21"/>
        </w:numPr>
        <w:spacing w:before="0" w:after="0"/>
        <w:rPr>
          <w:sz w:val="22"/>
          <w:szCs w:val="22"/>
        </w:rPr>
      </w:pPr>
      <w:r w:rsidRPr="002D0174">
        <w:rPr>
          <w:sz w:val="22"/>
          <w:szCs w:val="22"/>
        </w:rPr>
        <w:t xml:space="preserve">This </w:t>
      </w:r>
      <w:r>
        <w:rPr>
          <w:sz w:val="22"/>
          <w:szCs w:val="22"/>
        </w:rPr>
        <w:t>again</w:t>
      </w:r>
      <w:r w:rsidRPr="002D0174">
        <w:rPr>
          <w:sz w:val="22"/>
          <w:szCs w:val="22"/>
        </w:rPr>
        <w:t xml:space="preserve"> demonstrates the increase in demand and need for affordable rental housing in Central C</w:t>
      </w:r>
      <w:r>
        <w:rPr>
          <w:sz w:val="22"/>
          <w:szCs w:val="22"/>
        </w:rPr>
        <w:t>ity</w:t>
      </w:r>
      <w:r w:rsidRPr="002D0174">
        <w:rPr>
          <w:sz w:val="22"/>
          <w:szCs w:val="22"/>
        </w:rPr>
        <w:t>.</w:t>
      </w:r>
    </w:p>
    <w:p w14:paraId="1872B4BA" w14:textId="77777777" w:rsidR="00F45AC4" w:rsidRPr="00763078" w:rsidRDefault="005F6970" w:rsidP="005F6970">
      <w:pPr>
        <w:numPr>
          <w:ilvl w:val="0"/>
          <w:numId w:val="20"/>
        </w:numPr>
        <w:tabs>
          <w:tab w:val="clear" w:pos="720"/>
          <w:tab w:val="num" w:pos="360"/>
        </w:tabs>
        <w:spacing w:before="0" w:after="0"/>
        <w:ind w:left="360"/>
        <w:rPr>
          <w:sz w:val="22"/>
          <w:szCs w:val="22"/>
        </w:rPr>
      </w:pPr>
      <w:r w:rsidRPr="00763078">
        <w:rPr>
          <w:sz w:val="22"/>
          <w:szCs w:val="22"/>
        </w:rPr>
        <w:t xml:space="preserve">As well as the gap between supply and demand for affordable rental, </w:t>
      </w:r>
      <w:r w:rsidR="007C0410" w:rsidRPr="00763078">
        <w:rPr>
          <w:sz w:val="22"/>
          <w:szCs w:val="22"/>
        </w:rPr>
        <w:t>there is generally</w:t>
      </w:r>
      <w:r w:rsidRPr="00763078">
        <w:rPr>
          <w:sz w:val="22"/>
          <w:szCs w:val="22"/>
        </w:rPr>
        <w:t xml:space="preserve"> a significant gap between dwelling size (bedroom numbers) and household size. The graph below compares the number of smaller household types - lone person and couple only – with the amount of studio and one bedroom accommodation available. It is clear that if smaller households wished to live in smaller housing, they have very little opportunity to do so</w:t>
      </w:r>
      <w:r w:rsidR="00763078" w:rsidRPr="00763078">
        <w:rPr>
          <w:sz w:val="22"/>
          <w:szCs w:val="22"/>
        </w:rPr>
        <w:t xml:space="preserve"> (although clearly both Parramatta and Cumberland have a better supply than The Hills and Blacktown)</w:t>
      </w:r>
      <w:r w:rsidRPr="00763078">
        <w:rPr>
          <w:sz w:val="22"/>
          <w:szCs w:val="22"/>
        </w:rPr>
        <w:t xml:space="preserve">.  While </w:t>
      </w:r>
      <w:r w:rsidR="00763078" w:rsidRPr="00763078">
        <w:rPr>
          <w:sz w:val="22"/>
          <w:szCs w:val="22"/>
        </w:rPr>
        <w:t>37.6</w:t>
      </w:r>
      <w:r w:rsidRPr="00763078">
        <w:rPr>
          <w:sz w:val="22"/>
          <w:szCs w:val="22"/>
        </w:rPr>
        <w:t xml:space="preserve">% of households in Central </w:t>
      </w:r>
      <w:r w:rsidR="00763078" w:rsidRPr="00763078">
        <w:rPr>
          <w:sz w:val="22"/>
          <w:szCs w:val="22"/>
        </w:rPr>
        <w:t>City</w:t>
      </w:r>
      <w:r w:rsidRPr="00763078">
        <w:rPr>
          <w:sz w:val="22"/>
          <w:szCs w:val="22"/>
        </w:rPr>
        <w:t xml:space="preserve"> are lone person or couple only</w:t>
      </w:r>
      <w:r w:rsidR="00763078" w:rsidRPr="00763078">
        <w:rPr>
          <w:sz w:val="22"/>
          <w:szCs w:val="22"/>
        </w:rPr>
        <w:t xml:space="preserve"> (below the 45.5% average in Greater Sydney)</w:t>
      </w:r>
      <w:r w:rsidRPr="00763078">
        <w:rPr>
          <w:sz w:val="22"/>
          <w:szCs w:val="22"/>
        </w:rPr>
        <w:t xml:space="preserve">, only </w:t>
      </w:r>
      <w:r w:rsidR="00763078" w:rsidRPr="00763078">
        <w:rPr>
          <w:sz w:val="22"/>
          <w:szCs w:val="22"/>
        </w:rPr>
        <w:t>5.3</w:t>
      </w:r>
      <w:r w:rsidRPr="00763078">
        <w:rPr>
          <w:sz w:val="22"/>
          <w:szCs w:val="22"/>
        </w:rPr>
        <w:t>% of dwelling stock is studio or one bedroom.</w:t>
      </w:r>
    </w:p>
    <w:p w14:paraId="038C0D4E" w14:textId="77777777" w:rsidR="00F45AC4" w:rsidRPr="00763078" w:rsidRDefault="00F45AC4" w:rsidP="00F45AC4">
      <w:pPr>
        <w:numPr>
          <w:ilvl w:val="0"/>
          <w:numId w:val="20"/>
        </w:numPr>
        <w:tabs>
          <w:tab w:val="clear" w:pos="720"/>
          <w:tab w:val="num" w:pos="360"/>
        </w:tabs>
        <w:spacing w:before="0" w:after="0"/>
        <w:ind w:left="360"/>
        <w:rPr>
          <w:sz w:val="22"/>
          <w:szCs w:val="22"/>
        </w:rPr>
      </w:pPr>
      <w:r w:rsidRPr="00763078">
        <w:rPr>
          <w:sz w:val="22"/>
          <w:szCs w:val="22"/>
        </w:rPr>
        <w:t>This mismatch can impact on affordability, with smaller households required to consume more housing than they need because of lack of choice.</w:t>
      </w:r>
    </w:p>
    <w:p w14:paraId="2EE7129F" w14:textId="77777777" w:rsidR="00F45AC4" w:rsidRPr="00763078" w:rsidRDefault="00F45AC4" w:rsidP="00F45AC4">
      <w:pPr>
        <w:numPr>
          <w:ilvl w:val="0"/>
          <w:numId w:val="20"/>
        </w:numPr>
        <w:tabs>
          <w:tab w:val="clear" w:pos="720"/>
          <w:tab w:val="num" w:pos="360"/>
        </w:tabs>
        <w:spacing w:before="0" w:after="0"/>
        <w:ind w:left="360"/>
        <w:rPr>
          <w:sz w:val="22"/>
          <w:szCs w:val="22"/>
        </w:rPr>
      </w:pPr>
      <w:r w:rsidRPr="00763078">
        <w:rPr>
          <w:sz w:val="22"/>
          <w:szCs w:val="22"/>
        </w:rPr>
        <w:t>It also limits the opportunity for empty nesters or older single households to downsize to smaller more manageable homes within their communities.  This can impact on the independence of older residents and their ability to age in place.</w:t>
      </w:r>
      <w:r w:rsidR="00763078">
        <w:rPr>
          <w:sz w:val="22"/>
          <w:szCs w:val="22"/>
        </w:rPr>
        <w:t xml:space="preserve">  This will become increasingly important as the population of Central City is forecast to have an increase in older age groups.</w:t>
      </w:r>
    </w:p>
    <w:p w14:paraId="71C23AD2" w14:textId="77777777" w:rsidR="005F6970" w:rsidRPr="00763078" w:rsidRDefault="005F6970" w:rsidP="006B728D">
      <w:pPr>
        <w:spacing w:before="0" w:after="0"/>
        <w:rPr>
          <w:sz w:val="22"/>
          <w:szCs w:val="22"/>
        </w:rPr>
      </w:pPr>
      <w:r w:rsidRPr="00763078">
        <w:rPr>
          <w:sz w:val="22"/>
          <w:szCs w:val="22"/>
        </w:rPr>
        <w:t xml:space="preserve"> </w:t>
      </w:r>
    </w:p>
    <w:p w14:paraId="43577B0E" w14:textId="77777777" w:rsidR="00000E6B" w:rsidRDefault="00000E6B" w:rsidP="00000E6B">
      <w:pPr>
        <w:rPr>
          <w:sz w:val="22"/>
        </w:rPr>
      </w:pPr>
    </w:p>
    <w:p w14:paraId="0E18B02A" w14:textId="77777777" w:rsidR="00000E6B" w:rsidRDefault="00F5574A" w:rsidP="00000E6B">
      <w:pPr>
        <w:rPr>
          <w:sz w:val="22"/>
        </w:rPr>
      </w:pPr>
      <w:r>
        <w:rPr>
          <w:noProof/>
        </w:rPr>
        <w:lastRenderedPageBreak/>
        <w:drawing>
          <wp:inline distT="0" distB="0" distL="0" distR="0" wp14:anchorId="46C50F8B" wp14:editId="10F21BDE">
            <wp:extent cx="5715000" cy="29908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42AFA32" w14:textId="77777777" w:rsidR="00F5574A" w:rsidRDefault="00F5574A" w:rsidP="00000E6B">
      <w:pPr>
        <w:rPr>
          <w:sz w:val="22"/>
        </w:rPr>
      </w:pPr>
    </w:p>
    <w:p w14:paraId="5FCD402E" w14:textId="77777777" w:rsidR="00F45AC4" w:rsidRPr="00177837" w:rsidRDefault="00F45AC4" w:rsidP="00F45AC4">
      <w:pPr>
        <w:numPr>
          <w:ilvl w:val="0"/>
          <w:numId w:val="20"/>
        </w:numPr>
        <w:tabs>
          <w:tab w:val="clear" w:pos="720"/>
          <w:tab w:val="num" w:pos="360"/>
        </w:tabs>
        <w:spacing w:before="0" w:after="0"/>
        <w:ind w:left="360"/>
        <w:rPr>
          <w:sz w:val="22"/>
          <w:szCs w:val="22"/>
        </w:rPr>
      </w:pPr>
      <w:r w:rsidRPr="00177837">
        <w:rPr>
          <w:sz w:val="22"/>
          <w:szCs w:val="22"/>
        </w:rPr>
        <w:t xml:space="preserve">While there has been an increase in studio and one bedroom homes since the 2016 Census, the number is easily outweighed by the increase in the number of four </w:t>
      </w:r>
      <w:r w:rsidR="00177837">
        <w:rPr>
          <w:sz w:val="22"/>
          <w:szCs w:val="22"/>
        </w:rPr>
        <w:t xml:space="preserve">and more </w:t>
      </w:r>
      <w:r w:rsidRPr="00177837">
        <w:rPr>
          <w:sz w:val="22"/>
          <w:szCs w:val="22"/>
        </w:rPr>
        <w:t xml:space="preserve">bedroom homes, as seen in the graph below.  </w:t>
      </w:r>
      <w:r w:rsidR="00177837" w:rsidRPr="00177837">
        <w:rPr>
          <w:sz w:val="22"/>
          <w:szCs w:val="22"/>
        </w:rPr>
        <w:t>Although notably there has been a strong increase in two bedroom properties, which helps provide flexibility in housing supply as they are suitable for single people, couples and small families</w:t>
      </w:r>
      <w:r w:rsidRPr="00177837">
        <w:rPr>
          <w:sz w:val="22"/>
          <w:szCs w:val="22"/>
        </w:rPr>
        <w:t>.</w:t>
      </w:r>
    </w:p>
    <w:p w14:paraId="602413C1" w14:textId="77777777" w:rsidR="00F45AC4" w:rsidRDefault="00F45AC4" w:rsidP="00000E6B">
      <w:pPr>
        <w:rPr>
          <w:sz w:val="22"/>
        </w:rPr>
      </w:pPr>
    </w:p>
    <w:p w14:paraId="6316B44B" w14:textId="77777777" w:rsidR="00F5574A" w:rsidRDefault="00177837" w:rsidP="00000E6B">
      <w:pPr>
        <w:rPr>
          <w:sz w:val="22"/>
        </w:rPr>
      </w:pPr>
      <w:r>
        <w:rPr>
          <w:noProof/>
          <w:sz w:val="22"/>
        </w:rPr>
        <w:drawing>
          <wp:inline distT="0" distB="0" distL="0" distR="0" wp14:anchorId="3323DB5B" wp14:editId="01A30562">
            <wp:extent cx="5468620" cy="31762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68620" cy="3176270"/>
                    </a:xfrm>
                    <a:prstGeom prst="rect">
                      <a:avLst/>
                    </a:prstGeom>
                    <a:noFill/>
                  </pic:spPr>
                </pic:pic>
              </a:graphicData>
            </a:graphic>
          </wp:inline>
        </w:drawing>
      </w:r>
    </w:p>
    <w:p w14:paraId="790F91A3" w14:textId="77777777" w:rsidR="00000E6B" w:rsidRPr="00000E6B" w:rsidRDefault="00000E6B" w:rsidP="00000E6B">
      <w:pPr>
        <w:rPr>
          <w:sz w:val="22"/>
        </w:rPr>
      </w:pPr>
    </w:p>
    <w:p w14:paraId="655305BC" w14:textId="77777777" w:rsidR="00952F77" w:rsidRDefault="00952F77" w:rsidP="00952F77">
      <w:pPr>
        <w:rPr>
          <w:sz w:val="22"/>
        </w:rPr>
      </w:pPr>
    </w:p>
    <w:p w14:paraId="3D0FF050" w14:textId="77777777" w:rsidR="008A28DD" w:rsidRPr="00A762AF" w:rsidRDefault="008A28DD" w:rsidP="008A28DD">
      <w:pPr>
        <w:numPr>
          <w:ilvl w:val="0"/>
          <w:numId w:val="20"/>
        </w:numPr>
        <w:tabs>
          <w:tab w:val="clear" w:pos="720"/>
          <w:tab w:val="num" w:pos="360"/>
        </w:tabs>
        <w:spacing w:before="0" w:after="0"/>
        <w:ind w:left="360"/>
        <w:rPr>
          <w:sz w:val="22"/>
          <w:szCs w:val="22"/>
        </w:rPr>
      </w:pPr>
      <w:r w:rsidRPr="00A762AF">
        <w:rPr>
          <w:sz w:val="22"/>
          <w:szCs w:val="22"/>
        </w:rPr>
        <w:lastRenderedPageBreak/>
        <w:t>A proactive stance is required to encourage an increase in studio</w:t>
      </w:r>
      <w:r>
        <w:rPr>
          <w:sz w:val="22"/>
          <w:szCs w:val="22"/>
        </w:rPr>
        <w:t xml:space="preserve"> and</w:t>
      </w:r>
      <w:r w:rsidRPr="00A762AF">
        <w:rPr>
          <w:sz w:val="22"/>
          <w:szCs w:val="22"/>
        </w:rPr>
        <w:t xml:space="preserve"> one bedroom properties.  This is important given that annually the addition of new dwellings represents around 1% of the total dwelling stock – so change occurs very slowly.  </w:t>
      </w:r>
      <w:r>
        <w:rPr>
          <w:sz w:val="22"/>
          <w:szCs w:val="22"/>
        </w:rPr>
        <w:t xml:space="preserve">There is also a need to take into account the impact of alterations and additions to existing stock, for example, adding extra bedrooms to two and three bedroom houses.  </w:t>
      </w:r>
      <w:r w:rsidRPr="00A762AF">
        <w:rPr>
          <w:sz w:val="22"/>
          <w:szCs w:val="22"/>
        </w:rPr>
        <w:t xml:space="preserve">Given the current overwhelming </w:t>
      </w:r>
      <w:r>
        <w:rPr>
          <w:sz w:val="22"/>
          <w:szCs w:val="22"/>
        </w:rPr>
        <w:t xml:space="preserve"> supply of </w:t>
      </w:r>
      <w:proofErr w:type="spellStart"/>
      <w:r>
        <w:rPr>
          <w:sz w:val="22"/>
          <w:szCs w:val="22"/>
        </w:rPr>
        <w:t>and</w:t>
      </w:r>
      <w:proofErr w:type="spellEnd"/>
      <w:r>
        <w:rPr>
          <w:sz w:val="22"/>
          <w:szCs w:val="22"/>
        </w:rPr>
        <w:t xml:space="preserve"> increase in </w:t>
      </w:r>
      <w:r w:rsidRPr="00A762AF">
        <w:rPr>
          <w:sz w:val="22"/>
          <w:szCs w:val="22"/>
        </w:rPr>
        <w:t xml:space="preserve">four </w:t>
      </w:r>
      <w:r>
        <w:rPr>
          <w:sz w:val="22"/>
          <w:szCs w:val="22"/>
        </w:rPr>
        <w:t xml:space="preserve">plus </w:t>
      </w:r>
      <w:r w:rsidRPr="00A762AF">
        <w:rPr>
          <w:sz w:val="22"/>
          <w:szCs w:val="22"/>
        </w:rPr>
        <w:t>bedroom</w:t>
      </w:r>
      <w:r>
        <w:rPr>
          <w:sz w:val="22"/>
          <w:szCs w:val="22"/>
        </w:rPr>
        <w:t xml:space="preserve"> homes</w:t>
      </w:r>
      <w:r w:rsidRPr="00A762AF">
        <w:rPr>
          <w:sz w:val="22"/>
          <w:szCs w:val="22"/>
        </w:rPr>
        <w:t>, strong incentives/requirements would need to be put in place to ensure a better balance and more diversity to meet housing need.</w:t>
      </w:r>
      <w:r>
        <w:rPr>
          <w:sz w:val="22"/>
          <w:szCs w:val="22"/>
        </w:rPr>
        <w:t xml:space="preserve">  Continuing to encourage development of two bedroom homes is helpful.</w:t>
      </w:r>
    </w:p>
    <w:p w14:paraId="2782FFEF" w14:textId="77777777" w:rsidR="008A28DD" w:rsidRPr="00A762AF" w:rsidRDefault="008A28DD" w:rsidP="008A28DD">
      <w:pPr>
        <w:numPr>
          <w:ilvl w:val="0"/>
          <w:numId w:val="20"/>
        </w:numPr>
        <w:tabs>
          <w:tab w:val="clear" w:pos="720"/>
          <w:tab w:val="num" w:pos="360"/>
        </w:tabs>
        <w:spacing w:before="0" w:after="0"/>
        <w:ind w:left="360"/>
        <w:rPr>
          <w:sz w:val="22"/>
          <w:szCs w:val="22"/>
        </w:rPr>
      </w:pPr>
      <w:r w:rsidRPr="00A762AF">
        <w:rPr>
          <w:sz w:val="22"/>
          <w:szCs w:val="22"/>
        </w:rPr>
        <w:t xml:space="preserve">New generation boarding houses would also help fulfil </w:t>
      </w:r>
      <w:r>
        <w:rPr>
          <w:sz w:val="22"/>
          <w:szCs w:val="22"/>
        </w:rPr>
        <w:t xml:space="preserve">some of </w:t>
      </w:r>
      <w:r w:rsidRPr="00A762AF">
        <w:rPr>
          <w:sz w:val="22"/>
          <w:szCs w:val="22"/>
        </w:rPr>
        <w:t>this demand – particularly as they cannot be subdivided and must provide rental accommodation.  Note that the NSW Community Housing Industry Association has an Affordable Housing Tool Kit to help deal with community resistance to affordable housing</w:t>
      </w:r>
      <w:r w:rsidR="000D3152">
        <w:rPr>
          <w:sz w:val="22"/>
          <w:szCs w:val="22"/>
        </w:rPr>
        <w:t>, which is</w:t>
      </w:r>
      <w:r w:rsidRPr="00A762AF">
        <w:rPr>
          <w:sz w:val="22"/>
          <w:szCs w:val="22"/>
        </w:rPr>
        <w:t xml:space="preserve"> available on their website.  They also have a couple of excellent </w:t>
      </w:r>
      <w:proofErr w:type="spellStart"/>
      <w:r w:rsidRPr="00A762AF">
        <w:rPr>
          <w:sz w:val="22"/>
          <w:szCs w:val="22"/>
        </w:rPr>
        <w:t>vimeos</w:t>
      </w:r>
      <w:proofErr w:type="spellEnd"/>
      <w:r w:rsidRPr="00A762AF">
        <w:rPr>
          <w:sz w:val="22"/>
          <w:szCs w:val="22"/>
        </w:rPr>
        <w:t xml:space="preserve"> showcasing new generation boarding house developments and their tenants.</w:t>
      </w:r>
    </w:p>
    <w:p w14:paraId="67A1499D" w14:textId="77777777" w:rsidR="008A28DD" w:rsidRPr="00A762AF" w:rsidRDefault="008A28DD" w:rsidP="008A28DD">
      <w:pPr>
        <w:numPr>
          <w:ilvl w:val="0"/>
          <w:numId w:val="20"/>
        </w:numPr>
        <w:tabs>
          <w:tab w:val="clear" w:pos="720"/>
          <w:tab w:val="num" w:pos="360"/>
        </w:tabs>
        <w:spacing w:before="0" w:after="0"/>
        <w:ind w:left="360"/>
        <w:rPr>
          <w:sz w:val="22"/>
          <w:szCs w:val="22"/>
        </w:rPr>
      </w:pPr>
      <w:r w:rsidRPr="00A762AF">
        <w:rPr>
          <w:sz w:val="22"/>
          <w:szCs w:val="22"/>
        </w:rPr>
        <w:t xml:space="preserve">The next graph compares larger household types – couple family with children, one parent family and group households – with the amount of </w:t>
      </w:r>
      <w:r w:rsidR="00203E2F">
        <w:rPr>
          <w:sz w:val="22"/>
          <w:szCs w:val="22"/>
        </w:rPr>
        <w:t xml:space="preserve">two, </w:t>
      </w:r>
      <w:r w:rsidRPr="00A762AF">
        <w:rPr>
          <w:sz w:val="22"/>
          <w:szCs w:val="22"/>
        </w:rPr>
        <w:t>three and four or more bedroom accommodation available.  It is clear that there is a</w:t>
      </w:r>
      <w:r w:rsidR="00A27152">
        <w:rPr>
          <w:sz w:val="22"/>
          <w:szCs w:val="22"/>
        </w:rPr>
        <w:t>n</w:t>
      </w:r>
      <w:r w:rsidRPr="00A762AF">
        <w:rPr>
          <w:sz w:val="22"/>
          <w:szCs w:val="22"/>
        </w:rPr>
        <w:t xml:space="preserve"> oversupply of larger dwellings, by comparison with the household types which might need large homes</w:t>
      </w:r>
      <w:r w:rsidR="00203E2F">
        <w:rPr>
          <w:sz w:val="22"/>
          <w:szCs w:val="22"/>
        </w:rPr>
        <w:t>, particularly in The Hills and Blacktown</w:t>
      </w:r>
      <w:r w:rsidRPr="00A762AF">
        <w:rPr>
          <w:sz w:val="22"/>
          <w:szCs w:val="22"/>
        </w:rPr>
        <w:t>.</w:t>
      </w:r>
    </w:p>
    <w:p w14:paraId="31920B6A" w14:textId="77777777" w:rsidR="00952F77" w:rsidRDefault="00952F77" w:rsidP="00952F77">
      <w:pPr>
        <w:rPr>
          <w:sz w:val="22"/>
        </w:rPr>
      </w:pPr>
    </w:p>
    <w:p w14:paraId="4ACCB341" w14:textId="77777777" w:rsidR="008A28DD" w:rsidRDefault="00A27152" w:rsidP="00952F77">
      <w:pPr>
        <w:rPr>
          <w:sz w:val="22"/>
        </w:rPr>
      </w:pPr>
      <w:r>
        <w:rPr>
          <w:noProof/>
          <w:sz w:val="22"/>
        </w:rPr>
        <w:drawing>
          <wp:inline distT="0" distB="0" distL="0" distR="0" wp14:anchorId="6612337A" wp14:editId="634DB5F9">
            <wp:extent cx="6280150" cy="3005245"/>
            <wp:effectExtent l="0" t="0" r="635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98663" cy="3014104"/>
                    </a:xfrm>
                    <a:prstGeom prst="rect">
                      <a:avLst/>
                    </a:prstGeom>
                    <a:noFill/>
                  </pic:spPr>
                </pic:pic>
              </a:graphicData>
            </a:graphic>
          </wp:inline>
        </w:drawing>
      </w:r>
    </w:p>
    <w:p w14:paraId="2A05A4F9" w14:textId="77777777" w:rsidR="00952F77" w:rsidRDefault="00952F77" w:rsidP="00952F77">
      <w:pPr>
        <w:rPr>
          <w:sz w:val="22"/>
        </w:rPr>
      </w:pPr>
    </w:p>
    <w:p w14:paraId="3596AE90" w14:textId="77777777" w:rsidR="00203E2F" w:rsidRDefault="00203E2F" w:rsidP="00203E2F">
      <w:pPr>
        <w:pStyle w:val="ListParagraph"/>
        <w:numPr>
          <w:ilvl w:val="0"/>
          <w:numId w:val="22"/>
        </w:numPr>
        <w:rPr>
          <w:sz w:val="22"/>
          <w:szCs w:val="22"/>
        </w:rPr>
      </w:pPr>
      <w:r>
        <w:rPr>
          <w:sz w:val="22"/>
          <w:szCs w:val="20"/>
        </w:rPr>
        <w:t xml:space="preserve">As </w:t>
      </w:r>
      <w:r w:rsidRPr="002D0174">
        <w:rPr>
          <w:sz w:val="22"/>
          <w:szCs w:val="20"/>
        </w:rPr>
        <w:t xml:space="preserve">couple only households </w:t>
      </w:r>
      <w:r>
        <w:rPr>
          <w:sz w:val="22"/>
          <w:szCs w:val="20"/>
        </w:rPr>
        <w:t xml:space="preserve">comprise a little over a fifth of all households in Central City, </w:t>
      </w:r>
      <w:r w:rsidRPr="002D0174">
        <w:rPr>
          <w:sz w:val="22"/>
          <w:szCs w:val="20"/>
        </w:rPr>
        <w:t xml:space="preserve"> it is important to continue to encourage provision of one and two bedroom stock as well as studios, new generation boarding houses and secondary dwellings, to maintain a balance to meet local need, </w:t>
      </w:r>
      <w:r w:rsidRPr="002D0174">
        <w:rPr>
          <w:sz w:val="22"/>
          <w:szCs w:val="22"/>
        </w:rPr>
        <w:t>particularly where there are higher proportions of seniors and frail aged.  This will give older residents opportunity to downsize into more manageable and appropriate homes.</w:t>
      </w:r>
      <w:r>
        <w:rPr>
          <w:sz w:val="22"/>
          <w:szCs w:val="22"/>
        </w:rPr>
        <w:t xml:space="preserve">  </w:t>
      </w:r>
    </w:p>
    <w:p w14:paraId="70B39670" w14:textId="77777777" w:rsidR="00203E2F" w:rsidRPr="002D0174" w:rsidRDefault="00203E2F" w:rsidP="00203E2F">
      <w:pPr>
        <w:pStyle w:val="ListParagraph"/>
        <w:numPr>
          <w:ilvl w:val="0"/>
          <w:numId w:val="22"/>
        </w:numPr>
        <w:rPr>
          <w:sz w:val="22"/>
          <w:szCs w:val="22"/>
        </w:rPr>
      </w:pPr>
      <w:r>
        <w:rPr>
          <w:sz w:val="22"/>
          <w:szCs w:val="22"/>
        </w:rPr>
        <w:lastRenderedPageBreak/>
        <w:t>Enabling the provision of more semi-detached, terrace and town houses could help fulfil some of the demand for smaller more manageable homes.</w:t>
      </w:r>
    </w:p>
    <w:p w14:paraId="349F3582" w14:textId="77777777" w:rsidR="00F45AC4" w:rsidRDefault="00F45AC4" w:rsidP="00952F77">
      <w:pPr>
        <w:rPr>
          <w:sz w:val="22"/>
        </w:rPr>
      </w:pPr>
    </w:p>
    <w:p w14:paraId="5AD48894" w14:textId="77777777" w:rsidR="00203E2F" w:rsidRDefault="00203E2F" w:rsidP="00952F77">
      <w:pPr>
        <w:rPr>
          <w:sz w:val="22"/>
        </w:rPr>
      </w:pPr>
    </w:p>
    <w:p w14:paraId="26887321" w14:textId="77777777" w:rsidR="00203E2F" w:rsidRPr="00714E45" w:rsidRDefault="00203E2F" w:rsidP="00203E2F">
      <w:pPr>
        <w:rPr>
          <w:b/>
        </w:rPr>
      </w:pPr>
      <w:r w:rsidRPr="00714E45">
        <w:rPr>
          <w:b/>
        </w:rPr>
        <w:t>Who needs affordable housing</w:t>
      </w:r>
    </w:p>
    <w:p w14:paraId="5BB578E7" w14:textId="77777777" w:rsidR="00203E2F" w:rsidRPr="00E134C4" w:rsidRDefault="00203E2F" w:rsidP="00203E2F">
      <w:pPr>
        <w:pStyle w:val="ListParagraph"/>
        <w:numPr>
          <w:ilvl w:val="0"/>
          <w:numId w:val="23"/>
        </w:numPr>
        <w:rPr>
          <w:sz w:val="22"/>
        </w:rPr>
      </w:pPr>
      <w:r w:rsidRPr="00B309D7">
        <w:rPr>
          <w:sz w:val="22"/>
          <w:szCs w:val="22"/>
        </w:rPr>
        <w:t xml:space="preserve">A wide range of people need affordable housing.  Single income earners who fall into the low income category include aged care and disability workers, retail sales assistants, production workers, receptionists and early career child care workers.  </w:t>
      </w:r>
    </w:p>
    <w:p w14:paraId="5BEC0D6F" w14:textId="77777777" w:rsidR="00203E2F" w:rsidRDefault="00203E2F" w:rsidP="00203E2F">
      <w:pPr>
        <w:pStyle w:val="ListParagraph"/>
        <w:numPr>
          <w:ilvl w:val="0"/>
          <w:numId w:val="23"/>
        </w:numPr>
        <w:rPr>
          <w:sz w:val="22"/>
          <w:szCs w:val="22"/>
        </w:rPr>
      </w:pPr>
      <w:r w:rsidRPr="00B309D7">
        <w:rPr>
          <w:sz w:val="22"/>
          <w:szCs w:val="22"/>
        </w:rPr>
        <w:t xml:space="preserve">People working in accommodation and food services comprise around </w:t>
      </w:r>
      <w:r w:rsidR="00A94F83">
        <w:rPr>
          <w:sz w:val="22"/>
          <w:szCs w:val="22"/>
        </w:rPr>
        <w:t>5</w:t>
      </w:r>
      <w:r w:rsidRPr="00B309D7">
        <w:rPr>
          <w:sz w:val="22"/>
          <w:szCs w:val="22"/>
        </w:rPr>
        <w:t xml:space="preserve">% of the workforce </w:t>
      </w:r>
      <w:r w:rsidR="00A94F83">
        <w:rPr>
          <w:sz w:val="22"/>
          <w:szCs w:val="22"/>
        </w:rPr>
        <w:t xml:space="preserve">living </w:t>
      </w:r>
      <w:r w:rsidRPr="00B309D7">
        <w:rPr>
          <w:sz w:val="22"/>
          <w:szCs w:val="22"/>
        </w:rPr>
        <w:t>in Central C</w:t>
      </w:r>
      <w:r w:rsidR="00A94F83">
        <w:rPr>
          <w:sz w:val="22"/>
          <w:szCs w:val="22"/>
        </w:rPr>
        <w:t>ity</w:t>
      </w:r>
      <w:r w:rsidRPr="00B309D7">
        <w:rPr>
          <w:sz w:val="22"/>
          <w:szCs w:val="22"/>
        </w:rPr>
        <w:t xml:space="preserve"> and are amongst the lowest paid workers.  Similarly retail trade employs </w:t>
      </w:r>
      <w:r w:rsidR="00A94F83">
        <w:rPr>
          <w:sz w:val="22"/>
          <w:szCs w:val="22"/>
        </w:rPr>
        <w:t>9.4</w:t>
      </w:r>
      <w:r>
        <w:rPr>
          <w:sz w:val="22"/>
          <w:szCs w:val="22"/>
        </w:rPr>
        <w:t>%</w:t>
      </w:r>
      <w:r w:rsidRPr="00B309D7">
        <w:rPr>
          <w:sz w:val="22"/>
          <w:szCs w:val="22"/>
        </w:rPr>
        <w:t xml:space="preserve"> of workers </w:t>
      </w:r>
      <w:r w:rsidR="00A94F83">
        <w:rPr>
          <w:sz w:val="22"/>
          <w:szCs w:val="22"/>
        </w:rPr>
        <w:t xml:space="preserve">living </w:t>
      </w:r>
      <w:r w:rsidRPr="00B309D7">
        <w:rPr>
          <w:sz w:val="22"/>
          <w:szCs w:val="22"/>
        </w:rPr>
        <w:t>in Central C</w:t>
      </w:r>
      <w:r w:rsidR="00A94F83">
        <w:rPr>
          <w:sz w:val="22"/>
          <w:szCs w:val="22"/>
        </w:rPr>
        <w:t>ity</w:t>
      </w:r>
      <w:r w:rsidRPr="00B309D7">
        <w:rPr>
          <w:sz w:val="22"/>
          <w:szCs w:val="22"/>
        </w:rPr>
        <w:t xml:space="preserve">. </w:t>
      </w:r>
    </w:p>
    <w:p w14:paraId="09CC3B29" w14:textId="77777777" w:rsidR="00203E2F" w:rsidRDefault="00203E2F" w:rsidP="00203E2F">
      <w:pPr>
        <w:pStyle w:val="ListParagraph"/>
        <w:numPr>
          <w:ilvl w:val="0"/>
          <w:numId w:val="23"/>
        </w:numPr>
        <w:rPr>
          <w:sz w:val="22"/>
          <w:szCs w:val="22"/>
        </w:rPr>
      </w:pPr>
      <w:r w:rsidRPr="00B309D7">
        <w:rPr>
          <w:sz w:val="22"/>
          <w:szCs w:val="22"/>
        </w:rPr>
        <w:t xml:space="preserve">Health care and social assistance is </w:t>
      </w:r>
      <w:r w:rsidR="00A94F83">
        <w:rPr>
          <w:sz w:val="22"/>
          <w:szCs w:val="22"/>
        </w:rPr>
        <w:t>the largest</w:t>
      </w:r>
      <w:r w:rsidRPr="00B309D7">
        <w:rPr>
          <w:sz w:val="22"/>
          <w:szCs w:val="22"/>
        </w:rPr>
        <w:t xml:space="preserve"> employment sector </w:t>
      </w:r>
      <w:r w:rsidR="00DF4A0E">
        <w:rPr>
          <w:sz w:val="22"/>
          <w:szCs w:val="22"/>
        </w:rPr>
        <w:t xml:space="preserve">of residents </w:t>
      </w:r>
      <w:r w:rsidRPr="00B309D7">
        <w:rPr>
          <w:sz w:val="22"/>
          <w:szCs w:val="22"/>
        </w:rPr>
        <w:t>in Central C</w:t>
      </w:r>
      <w:r w:rsidR="00A94F83">
        <w:rPr>
          <w:sz w:val="22"/>
          <w:szCs w:val="22"/>
        </w:rPr>
        <w:t>ity</w:t>
      </w:r>
      <w:r w:rsidRPr="00B309D7">
        <w:rPr>
          <w:sz w:val="22"/>
          <w:szCs w:val="22"/>
        </w:rPr>
        <w:t xml:space="preserve"> (employing 1</w:t>
      </w:r>
      <w:r w:rsidR="00A94F83">
        <w:rPr>
          <w:sz w:val="22"/>
          <w:szCs w:val="22"/>
        </w:rPr>
        <w:t>4.3</w:t>
      </w:r>
      <w:r w:rsidRPr="00B309D7">
        <w:rPr>
          <w:sz w:val="22"/>
          <w:szCs w:val="22"/>
        </w:rPr>
        <w:t>%).  A 2017 survey of NSW Nurses and Midwives Association (NSWMA) members showed that thirty six per cent of respondents moved home or changed jobs in the previous 12 months because of housing affordability issues</w:t>
      </w:r>
      <w:r>
        <w:rPr>
          <w:sz w:val="22"/>
          <w:szCs w:val="22"/>
        </w:rPr>
        <w:t>.</w:t>
      </w:r>
    </w:p>
    <w:p w14:paraId="7B065395" w14:textId="77777777" w:rsidR="00203E2F" w:rsidRPr="00D64C71" w:rsidRDefault="00203E2F" w:rsidP="00203E2F">
      <w:pPr>
        <w:pStyle w:val="ListParagraph"/>
        <w:numPr>
          <w:ilvl w:val="0"/>
          <w:numId w:val="23"/>
        </w:numPr>
        <w:rPr>
          <w:sz w:val="22"/>
        </w:rPr>
      </w:pPr>
      <w:r>
        <w:rPr>
          <w:sz w:val="22"/>
          <w:szCs w:val="22"/>
        </w:rPr>
        <w:t>For example, h</w:t>
      </w:r>
      <w:r w:rsidRPr="00D64C71">
        <w:rPr>
          <w:sz w:val="22"/>
        </w:rPr>
        <w:t>ouseholds earning $790 per week gross (broadly indicative of a wage for a laundry worker)</w:t>
      </w:r>
      <w:r>
        <w:rPr>
          <w:sz w:val="22"/>
        </w:rPr>
        <w:t xml:space="preserve"> could afford to pay just $237 per week in rent before being in housing stress</w:t>
      </w:r>
      <w:r w:rsidRPr="00D64C71">
        <w:rPr>
          <w:sz w:val="22"/>
        </w:rPr>
        <w:t xml:space="preserve">. </w:t>
      </w:r>
      <w:r>
        <w:rPr>
          <w:sz w:val="22"/>
        </w:rPr>
        <w:t>H</w:t>
      </w:r>
      <w:r w:rsidRPr="00D64C71">
        <w:rPr>
          <w:sz w:val="22"/>
        </w:rPr>
        <w:t xml:space="preserve">ouseholds earning $960 (broadly indicative of wages for a commercial cleaner, delivery driver and entry level firefighter) </w:t>
      </w:r>
      <w:r>
        <w:rPr>
          <w:sz w:val="22"/>
        </w:rPr>
        <w:t xml:space="preserve">could afford to pay just $288 per week in rent before being in housing stress.  Households </w:t>
      </w:r>
      <w:r w:rsidRPr="00D64C71">
        <w:rPr>
          <w:sz w:val="22"/>
        </w:rPr>
        <w:t>with an income of $1,150 (broadly indicative of the wage for an enrolled nurse, child care worker and ICT support technician)</w:t>
      </w:r>
      <w:r>
        <w:rPr>
          <w:sz w:val="22"/>
        </w:rPr>
        <w:t xml:space="preserve"> can afford to pay just $345 per week in rent before being in housing stress</w:t>
      </w:r>
      <w:r w:rsidRPr="00D64C71">
        <w:rPr>
          <w:sz w:val="22"/>
        </w:rPr>
        <w:t xml:space="preserve">. </w:t>
      </w:r>
    </w:p>
    <w:p w14:paraId="3CC1641B" w14:textId="77777777" w:rsidR="00203E2F" w:rsidRPr="005446CE" w:rsidRDefault="00203E2F" w:rsidP="00203E2F">
      <w:pPr>
        <w:pStyle w:val="ListParagraph"/>
        <w:numPr>
          <w:ilvl w:val="0"/>
          <w:numId w:val="23"/>
        </w:numPr>
        <w:rPr>
          <w:sz w:val="22"/>
          <w:szCs w:val="22"/>
        </w:rPr>
      </w:pPr>
      <w:r w:rsidRPr="00D64C71">
        <w:rPr>
          <w:sz w:val="22"/>
        </w:rPr>
        <w:t>At a weekly income of $1,450/$1,500 (an indicative wage for an e</w:t>
      </w:r>
      <w:r>
        <w:rPr>
          <w:sz w:val="22"/>
        </w:rPr>
        <w:t>arly career Registered Nurse), a household could afford to pay $435 to $450 per week in rent before being in housing stress.</w:t>
      </w:r>
    </w:p>
    <w:p w14:paraId="622A25B7" w14:textId="77777777" w:rsidR="00203E2F" w:rsidRPr="00B309D7" w:rsidRDefault="00203E2F" w:rsidP="00203E2F">
      <w:pPr>
        <w:pStyle w:val="ListParagraph"/>
        <w:numPr>
          <w:ilvl w:val="0"/>
          <w:numId w:val="23"/>
        </w:numPr>
        <w:rPr>
          <w:sz w:val="22"/>
          <w:szCs w:val="22"/>
        </w:rPr>
      </w:pPr>
      <w:r>
        <w:rPr>
          <w:sz w:val="22"/>
        </w:rPr>
        <w:t xml:space="preserve">At </w:t>
      </w:r>
      <w:r w:rsidR="007129F3">
        <w:rPr>
          <w:sz w:val="22"/>
        </w:rPr>
        <w:t>December</w:t>
      </w:r>
      <w:r>
        <w:rPr>
          <w:sz w:val="22"/>
        </w:rPr>
        <w:t xml:space="preserve"> 2022, the median rent for a one bedroom home in Central C</w:t>
      </w:r>
      <w:r w:rsidR="00471331">
        <w:rPr>
          <w:sz w:val="22"/>
        </w:rPr>
        <w:t>ity ranged between</w:t>
      </w:r>
      <w:r>
        <w:rPr>
          <w:sz w:val="22"/>
        </w:rPr>
        <w:t xml:space="preserve"> was $3</w:t>
      </w:r>
      <w:r w:rsidR="007129F3">
        <w:rPr>
          <w:sz w:val="22"/>
        </w:rPr>
        <w:t>7</w:t>
      </w:r>
      <w:r>
        <w:rPr>
          <w:sz w:val="22"/>
        </w:rPr>
        <w:t>0 per week</w:t>
      </w:r>
      <w:r w:rsidR="00471331">
        <w:rPr>
          <w:sz w:val="22"/>
        </w:rPr>
        <w:t xml:space="preserve"> in Blacktown and $</w:t>
      </w:r>
      <w:r w:rsidR="00BC2B14">
        <w:rPr>
          <w:sz w:val="22"/>
        </w:rPr>
        <w:t>50</w:t>
      </w:r>
      <w:r w:rsidR="00471331">
        <w:rPr>
          <w:sz w:val="22"/>
        </w:rPr>
        <w:t>0 per week in Parramatta;</w:t>
      </w:r>
      <w:r>
        <w:rPr>
          <w:sz w:val="22"/>
        </w:rPr>
        <w:t xml:space="preserve"> for a two bedroom home </w:t>
      </w:r>
      <w:r w:rsidR="00471331">
        <w:rPr>
          <w:sz w:val="22"/>
        </w:rPr>
        <w:t>ranged between</w:t>
      </w:r>
      <w:r>
        <w:rPr>
          <w:sz w:val="22"/>
        </w:rPr>
        <w:t xml:space="preserve"> $4</w:t>
      </w:r>
      <w:r w:rsidR="007129F3">
        <w:rPr>
          <w:sz w:val="22"/>
        </w:rPr>
        <w:t>3</w:t>
      </w:r>
      <w:r>
        <w:rPr>
          <w:sz w:val="22"/>
        </w:rPr>
        <w:t>0 per week</w:t>
      </w:r>
      <w:r w:rsidR="00471331">
        <w:rPr>
          <w:sz w:val="22"/>
        </w:rPr>
        <w:t xml:space="preserve"> in Blacktown and $</w:t>
      </w:r>
      <w:r w:rsidR="00BC2B14">
        <w:rPr>
          <w:sz w:val="22"/>
        </w:rPr>
        <w:t>60</w:t>
      </w:r>
      <w:r w:rsidR="00471331">
        <w:rPr>
          <w:sz w:val="22"/>
        </w:rPr>
        <w:t>0 per week in The Hills Shire;</w:t>
      </w:r>
      <w:r>
        <w:rPr>
          <w:sz w:val="22"/>
        </w:rPr>
        <w:t xml:space="preserve"> for a three bedroom home </w:t>
      </w:r>
      <w:r w:rsidR="00471331">
        <w:rPr>
          <w:sz w:val="22"/>
        </w:rPr>
        <w:t>ranged between</w:t>
      </w:r>
      <w:r w:rsidR="007129F3">
        <w:rPr>
          <w:sz w:val="22"/>
        </w:rPr>
        <w:t xml:space="preserve"> $51</w:t>
      </w:r>
      <w:r>
        <w:rPr>
          <w:sz w:val="22"/>
        </w:rPr>
        <w:t>0</w:t>
      </w:r>
      <w:r w:rsidR="007129F3">
        <w:rPr>
          <w:sz w:val="22"/>
        </w:rPr>
        <w:t xml:space="preserve"> per week</w:t>
      </w:r>
      <w:r>
        <w:rPr>
          <w:sz w:val="22"/>
        </w:rPr>
        <w:t xml:space="preserve"> </w:t>
      </w:r>
      <w:r w:rsidR="007129F3">
        <w:rPr>
          <w:sz w:val="22"/>
        </w:rPr>
        <w:t>in Blacktown and $</w:t>
      </w:r>
      <w:r w:rsidR="00BC2B14">
        <w:rPr>
          <w:sz w:val="22"/>
        </w:rPr>
        <w:t>690</w:t>
      </w:r>
      <w:r w:rsidR="007129F3">
        <w:rPr>
          <w:sz w:val="22"/>
        </w:rPr>
        <w:t xml:space="preserve"> in </w:t>
      </w:r>
      <w:r w:rsidR="00BC2B14">
        <w:rPr>
          <w:sz w:val="22"/>
        </w:rPr>
        <w:t>The Hills</w:t>
      </w:r>
      <w:r w:rsidR="007129F3">
        <w:rPr>
          <w:sz w:val="22"/>
        </w:rPr>
        <w:t xml:space="preserve">; </w:t>
      </w:r>
      <w:r>
        <w:rPr>
          <w:sz w:val="22"/>
        </w:rPr>
        <w:t xml:space="preserve">and for a four or more bedroom home </w:t>
      </w:r>
      <w:r w:rsidR="007129F3">
        <w:rPr>
          <w:sz w:val="22"/>
        </w:rPr>
        <w:t>ranged between</w:t>
      </w:r>
      <w:r>
        <w:rPr>
          <w:sz w:val="22"/>
        </w:rPr>
        <w:t xml:space="preserve"> $</w:t>
      </w:r>
      <w:r w:rsidR="007129F3">
        <w:rPr>
          <w:sz w:val="22"/>
        </w:rPr>
        <w:t>695</w:t>
      </w:r>
      <w:r>
        <w:rPr>
          <w:sz w:val="22"/>
        </w:rPr>
        <w:t xml:space="preserve"> per week</w:t>
      </w:r>
      <w:r w:rsidR="007129F3">
        <w:rPr>
          <w:sz w:val="22"/>
        </w:rPr>
        <w:t xml:space="preserve"> in Blacktown and $</w:t>
      </w:r>
      <w:r w:rsidR="00BC2B14">
        <w:rPr>
          <w:sz w:val="22"/>
        </w:rPr>
        <w:t xml:space="preserve">865 per week </w:t>
      </w:r>
      <w:r w:rsidR="007129F3">
        <w:rPr>
          <w:sz w:val="22"/>
        </w:rPr>
        <w:t xml:space="preserve">in </w:t>
      </w:r>
      <w:r w:rsidR="00BC2B14">
        <w:rPr>
          <w:sz w:val="22"/>
        </w:rPr>
        <w:t>Parramatta</w:t>
      </w:r>
      <w:r>
        <w:rPr>
          <w:sz w:val="22"/>
        </w:rPr>
        <w:t>.</w:t>
      </w:r>
    </w:p>
    <w:p w14:paraId="05F5C962" w14:textId="77777777" w:rsidR="00203E2F" w:rsidRPr="00B309D7" w:rsidRDefault="00203E2F" w:rsidP="00203E2F">
      <w:pPr>
        <w:pStyle w:val="ListParagraph"/>
        <w:numPr>
          <w:ilvl w:val="0"/>
          <w:numId w:val="23"/>
        </w:numPr>
        <w:rPr>
          <w:sz w:val="22"/>
          <w:szCs w:val="22"/>
        </w:rPr>
      </w:pPr>
      <w:r w:rsidRPr="00B309D7">
        <w:rPr>
          <w:sz w:val="22"/>
          <w:szCs w:val="22"/>
        </w:rPr>
        <w:t>Single income households in particular are less able to compete in the housing market.</w:t>
      </w:r>
    </w:p>
    <w:p w14:paraId="413B574B" w14:textId="77777777" w:rsidR="00203E2F" w:rsidRPr="001C5E30" w:rsidRDefault="00203E2F" w:rsidP="00203E2F">
      <w:pPr>
        <w:pStyle w:val="ListParagraph"/>
        <w:numPr>
          <w:ilvl w:val="0"/>
          <w:numId w:val="23"/>
        </w:numPr>
        <w:rPr>
          <w:sz w:val="22"/>
          <w:szCs w:val="22"/>
        </w:rPr>
      </w:pPr>
      <w:r w:rsidRPr="001C5E30">
        <w:rPr>
          <w:sz w:val="22"/>
          <w:szCs w:val="22"/>
        </w:rPr>
        <w:t>Increasing numbers of older single women are homeless or at risk of homelessness due to the lack of available affordable rental housing.  In fact they are the fastest growing cohort of the homeless population.</w:t>
      </w:r>
    </w:p>
    <w:p w14:paraId="1C90B5E9" w14:textId="77777777" w:rsidR="00203E2F" w:rsidRPr="00714E45" w:rsidRDefault="00203E2F" w:rsidP="00203E2F">
      <w:pPr>
        <w:pStyle w:val="ListParagraph"/>
        <w:numPr>
          <w:ilvl w:val="0"/>
          <w:numId w:val="23"/>
        </w:numPr>
        <w:rPr>
          <w:sz w:val="22"/>
        </w:rPr>
      </w:pPr>
      <w:r w:rsidRPr="00714E45">
        <w:rPr>
          <w:sz w:val="22"/>
        </w:rPr>
        <w:t xml:space="preserve">Partnering or collaborating with community housing providers is one effective way to meet some of the local need for appropriate affordable housing.  </w:t>
      </w:r>
      <w:r w:rsidR="0040506B">
        <w:rPr>
          <w:sz w:val="22"/>
        </w:rPr>
        <w:t>Not for profit c</w:t>
      </w:r>
      <w:r w:rsidRPr="00714E45">
        <w:rPr>
          <w:sz w:val="22"/>
        </w:rPr>
        <w:t>ommunity housing providers are owners, managers and developers of affordable rental housing for lower income households and residents with specific housing needs.  They work with partners, investors and government to provide housing and deliver support for tenants.  For more information about community housing providers, see the NSW Community Housing Industry Association website.</w:t>
      </w:r>
    </w:p>
    <w:p w14:paraId="769F6111" w14:textId="77777777" w:rsidR="00203E2F" w:rsidRDefault="00203E2F" w:rsidP="00952F77">
      <w:pPr>
        <w:rPr>
          <w:sz w:val="22"/>
        </w:rPr>
      </w:pPr>
    </w:p>
    <w:p w14:paraId="5B5BB692" w14:textId="77777777" w:rsidR="00F45AC4" w:rsidRDefault="00F45AC4" w:rsidP="00952F77">
      <w:pPr>
        <w:rPr>
          <w:sz w:val="22"/>
        </w:rPr>
      </w:pPr>
    </w:p>
    <w:p w14:paraId="6877E05E" w14:textId="77777777" w:rsidR="00F45AC4" w:rsidRDefault="00F45AC4" w:rsidP="00952F77">
      <w:pPr>
        <w:rPr>
          <w:sz w:val="22"/>
        </w:rPr>
      </w:pPr>
    </w:p>
    <w:p w14:paraId="59E7747A" w14:textId="77777777" w:rsidR="00F45AC4" w:rsidRDefault="00F45AC4" w:rsidP="00952F77">
      <w:pPr>
        <w:rPr>
          <w:sz w:val="22"/>
        </w:rPr>
      </w:pPr>
    </w:p>
    <w:p w14:paraId="5DE3064A" w14:textId="77777777" w:rsidR="004549EE" w:rsidRPr="00654A33" w:rsidRDefault="004549EE" w:rsidP="004549EE">
      <w:pPr>
        <w:rPr>
          <w:b/>
          <w:color w:val="008000"/>
          <w:sz w:val="32"/>
        </w:rPr>
      </w:pPr>
      <w:r w:rsidRPr="00654A33">
        <w:rPr>
          <w:b/>
          <w:color w:val="008000"/>
          <w:sz w:val="32"/>
        </w:rPr>
        <w:lastRenderedPageBreak/>
        <w:t>Additional Data</w:t>
      </w:r>
    </w:p>
    <w:p w14:paraId="69751BF3" w14:textId="77777777" w:rsidR="004549EE" w:rsidRPr="009F0937" w:rsidRDefault="004549EE" w:rsidP="004549EE">
      <w:pPr>
        <w:rPr>
          <w:sz w:val="22"/>
          <w:szCs w:val="22"/>
        </w:rPr>
      </w:pPr>
      <w:r>
        <w:rPr>
          <w:sz w:val="22"/>
          <w:szCs w:val="22"/>
        </w:rPr>
        <w:t>H</w:t>
      </w:r>
      <w:r w:rsidRPr="009F0937">
        <w:rPr>
          <w:sz w:val="22"/>
          <w:szCs w:val="22"/>
        </w:rPr>
        <w:t>ousing data and tables used in this Snapshot are available from the Local Government Housing Kit Database on the Housing NSW website at:</w:t>
      </w:r>
    </w:p>
    <w:p w14:paraId="4CBE15AA" w14:textId="77777777" w:rsidR="004549EE" w:rsidRDefault="00A31D70" w:rsidP="004549EE">
      <w:pPr>
        <w:rPr>
          <w:sz w:val="22"/>
          <w:szCs w:val="22"/>
        </w:rPr>
      </w:pPr>
      <w:hyperlink r:id="rId26" w:history="1">
        <w:r w:rsidR="004549EE" w:rsidRPr="00E8412F">
          <w:rPr>
            <w:rStyle w:val="Hyperlink"/>
            <w:sz w:val="22"/>
            <w:szCs w:val="22"/>
          </w:rPr>
          <w:t>https://www.facs.nsw.gov.au/resources/nsw-local-government-housing-kit/chapters/local-government-housing-kit-database</w:t>
        </w:r>
      </w:hyperlink>
    </w:p>
    <w:p w14:paraId="3351F32D" w14:textId="77777777" w:rsidR="004549EE" w:rsidRDefault="004549EE" w:rsidP="004549EE">
      <w:pPr>
        <w:rPr>
          <w:sz w:val="22"/>
          <w:szCs w:val="22"/>
        </w:rPr>
      </w:pPr>
    </w:p>
    <w:p w14:paraId="69EAC5B5" w14:textId="77777777" w:rsidR="004549EE" w:rsidRPr="009F0937" w:rsidRDefault="004549EE" w:rsidP="004549EE">
      <w:pPr>
        <w:rPr>
          <w:sz w:val="22"/>
          <w:szCs w:val="22"/>
        </w:rPr>
      </w:pPr>
      <w:r w:rsidRPr="009F0937">
        <w:rPr>
          <w:sz w:val="22"/>
          <w:szCs w:val="22"/>
        </w:rPr>
        <w:t xml:space="preserve">More information on Expected Waiting Times for Public Housing is available on the </w:t>
      </w:r>
      <w:r>
        <w:rPr>
          <w:sz w:val="22"/>
          <w:szCs w:val="22"/>
        </w:rPr>
        <w:t xml:space="preserve">DCJ/FACS </w:t>
      </w:r>
      <w:r w:rsidRPr="009F0937">
        <w:rPr>
          <w:sz w:val="22"/>
          <w:szCs w:val="22"/>
        </w:rPr>
        <w:t xml:space="preserve">website by region at: </w:t>
      </w:r>
    </w:p>
    <w:p w14:paraId="6EAFB214" w14:textId="77777777" w:rsidR="004549EE" w:rsidRDefault="00A31D70" w:rsidP="004549EE">
      <w:pPr>
        <w:rPr>
          <w:sz w:val="22"/>
          <w:szCs w:val="22"/>
        </w:rPr>
      </w:pPr>
      <w:hyperlink r:id="rId27" w:history="1">
        <w:r w:rsidR="004549EE" w:rsidRPr="00E8412F">
          <w:rPr>
            <w:rStyle w:val="Hyperlink"/>
            <w:sz w:val="22"/>
            <w:szCs w:val="22"/>
          </w:rPr>
          <w:t>https://www.facs.nsw.gov.au/housing/help/applying-assistance/expected-waiting-times</w:t>
        </w:r>
      </w:hyperlink>
    </w:p>
    <w:p w14:paraId="654F96BC" w14:textId="77777777" w:rsidR="004549EE" w:rsidRDefault="004549EE" w:rsidP="004549EE">
      <w:pPr>
        <w:rPr>
          <w:sz w:val="22"/>
          <w:szCs w:val="22"/>
        </w:rPr>
      </w:pPr>
    </w:p>
    <w:p w14:paraId="395692AC" w14:textId="77777777" w:rsidR="004549EE" w:rsidRPr="009C452F" w:rsidRDefault="004549EE" w:rsidP="004549EE">
      <w:pPr>
        <w:rPr>
          <w:sz w:val="22"/>
          <w:szCs w:val="22"/>
        </w:rPr>
      </w:pPr>
      <w:r w:rsidRPr="009C452F">
        <w:rPr>
          <w:sz w:val="22"/>
          <w:szCs w:val="22"/>
        </w:rPr>
        <w:t xml:space="preserve">Additional data on social housing </w:t>
      </w:r>
      <w:r>
        <w:rPr>
          <w:sz w:val="22"/>
          <w:szCs w:val="22"/>
        </w:rPr>
        <w:t xml:space="preserve">dwellings and </w:t>
      </w:r>
      <w:r w:rsidRPr="009C452F">
        <w:rPr>
          <w:sz w:val="22"/>
          <w:szCs w:val="22"/>
        </w:rPr>
        <w:t>delivery is available on the FACS website at:</w:t>
      </w:r>
    </w:p>
    <w:p w14:paraId="4945AB4C" w14:textId="77777777" w:rsidR="004549EE" w:rsidRDefault="00A31D70" w:rsidP="004549EE">
      <w:pPr>
        <w:rPr>
          <w:sz w:val="22"/>
          <w:szCs w:val="22"/>
        </w:rPr>
      </w:pPr>
      <w:hyperlink r:id="rId28" w:history="1">
        <w:r w:rsidR="004549EE" w:rsidRPr="00E8412F">
          <w:rPr>
            <w:rStyle w:val="Hyperlink"/>
            <w:sz w:val="22"/>
            <w:szCs w:val="22"/>
          </w:rPr>
          <w:t>https://www.facs.nsw.gov.au/resources/statistics/social-housing-residential-dwellings/facs-quarterly-statistics-social-housing-dwellings</w:t>
        </w:r>
      </w:hyperlink>
    </w:p>
    <w:p w14:paraId="10C96225" w14:textId="77777777" w:rsidR="004549EE" w:rsidRDefault="004549EE" w:rsidP="004549EE">
      <w:pPr>
        <w:rPr>
          <w:sz w:val="22"/>
          <w:szCs w:val="22"/>
        </w:rPr>
      </w:pPr>
      <w:r>
        <w:rPr>
          <w:sz w:val="22"/>
          <w:szCs w:val="22"/>
        </w:rPr>
        <w:t>or go straight to the dashboard:</w:t>
      </w:r>
    </w:p>
    <w:p w14:paraId="18C6EFA0" w14:textId="77777777" w:rsidR="004549EE" w:rsidRDefault="00A31D70" w:rsidP="004549EE">
      <w:pPr>
        <w:rPr>
          <w:sz w:val="22"/>
          <w:szCs w:val="22"/>
        </w:rPr>
      </w:pPr>
      <w:hyperlink r:id="rId29" w:history="1">
        <w:r w:rsidR="004549EE" w:rsidRPr="00E8412F">
          <w:rPr>
            <w:rStyle w:val="Hyperlink"/>
            <w:sz w:val="22"/>
            <w:szCs w:val="22"/>
          </w:rPr>
          <w:t>https://public.tableau.com/app/profile/facs.statistics/viz/Social_Housing_Residential_Dwellings/Dashboard</w:t>
        </w:r>
      </w:hyperlink>
    </w:p>
    <w:p w14:paraId="22E379DC" w14:textId="77777777" w:rsidR="004549EE" w:rsidRDefault="004549EE" w:rsidP="004549EE">
      <w:pPr>
        <w:rPr>
          <w:sz w:val="22"/>
          <w:szCs w:val="22"/>
        </w:rPr>
      </w:pPr>
      <w:r>
        <w:rPr>
          <w:sz w:val="22"/>
          <w:szCs w:val="22"/>
        </w:rPr>
        <w:t>and</w:t>
      </w:r>
    </w:p>
    <w:p w14:paraId="0BC6B143" w14:textId="77777777" w:rsidR="004549EE" w:rsidRDefault="00A31D70" w:rsidP="004549EE">
      <w:pPr>
        <w:rPr>
          <w:sz w:val="22"/>
          <w:szCs w:val="22"/>
        </w:rPr>
      </w:pPr>
      <w:hyperlink r:id="rId30" w:history="1">
        <w:r w:rsidR="004549EE" w:rsidRPr="00E8412F">
          <w:rPr>
            <w:rStyle w:val="Hyperlink"/>
            <w:sz w:val="22"/>
            <w:szCs w:val="22"/>
          </w:rPr>
          <w:t>https://www.facs.nsw.gov.au/resources/statistics/social-housing-delivery2/interactive-dashboard</w:t>
        </w:r>
      </w:hyperlink>
    </w:p>
    <w:p w14:paraId="608AFDA0" w14:textId="77777777" w:rsidR="004549EE" w:rsidRDefault="004549EE" w:rsidP="004549EE">
      <w:pPr>
        <w:rPr>
          <w:sz w:val="22"/>
          <w:szCs w:val="22"/>
        </w:rPr>
      </w:pPr>
    </w:p>
    <w:p w14:paraId="4F30DC5C" w14:textId="77777777" w:rsidR="004549EE" w:rsidRPr="0016082E" w:rsidRDefault="004549EE" w:rsidP="004549EE">
      <w:pPr>
        <w:rPr>
          <w:rStyle w:val="Hyperlink"/>
          <w:sz w:val="22"/>
          <w:szCs w:val="22"/>
          <w:highlight w:val="yellow"/>
        </w:rPr>
      </w:pPr>
      <w:r w:rsidRPr="0045718D">
        <w:rPr>
          <w:sz w:val="22"/>
          <w:szCs w:val="22"/>
        </w:rPr>
        <w:t>More information about community housing providers is available on the NSW CHIA (Community Housing Industry Association) website</w:t>
      </w:r>
      <w:r>
        <w:rPr>
          <w:sz w:val="22"/>
          <w:szCs w:val="22"/>
        </w:rPr>
        <w:t>:</w:t>
      </w:r>
    </w:p>
    <w:p w14:paraId="20828B38" w14:textId="77777777" w:rsidR="004549EE" w:rsidRDefault="004549EE" w:rsidP="004549EE">
      <w:pPr>
        <w:rPr>
          <w:sz w:val="22"/>
          <w:szCs w:val="22"/>
        </w:rPr>
      </w:pPr>
      <w:r>
        <w:rPr>
          <w:sz w:val="22"/>
          <w:szCs w:val="22"/>
        </w:rPr>
        <w:t>NSW CHIA Snapshot of the Community Housing Sector in NSW:</w:t>
      </w:r>
    </w:p>
    <w:p w14:paraId="4B2395FF" w14:textId="77777777" w:rsidR="004549EE" w:rsidRDefault="00A31D70" w:rsidP="004549EE">
      <w:pPr>
        <w:rPr>
          <w:sz w:val="22"/>
          <w:szCs w:val="22"/>
        </w:rPr>
      </w:pPr>
      <w:hyperlink r:id="rId31" w:history="1">
        <w:r w:rsidR="004549EE" w:rsidRPr="00E8412F">
          <w:rPr>
            <w:rStyle w:val="Hyperlink"/>
            <w:sz w:val="22"/>
            <w:szCs w:val="22"/>
          </w:rPr>
          <w:t>https://communityhousing.org.au/wp-content/uploads/2022/08/Community-Housing-Snapshot-2022.pdf</w:t>
        </w:r>
      </w:hyperlink>
    </w:p>
    <w:p w14:paraId="2F3E2963" w14:textId="77777777" w:rsidR="004549EE" w:rsidRDefault="004549EE" w:rsidP="004549EE">
      <w:pPr>
        <w:rPr>
          <w:sz w:val="22"/>
          <w:szCs w:val="22"/>
        </w:rPr>
      </w:pPr>
      <w:r>
        <w:rPr>
          <w:sz w:val="22"/>
          <w:szCs w:val="22"/>
        </w:rPr>
        <w:t>Data on community housing properties is available from the NSW CHIA Dashboard at:</w:t>
      </w:r>
    </w:p>
    <w:p w14:paraId="7EC674F5" w14:textId="77777777" w:rsidR="004549EE" w:rsidRDefault="00A31D70" w:rsidP="004549EE">
      <w:pPr>
        <w:rPr>
          <w:sz w:val="22"/>
          <w:szCs w:val="22"/>
        </w:rPr>
      </w:pPr>
      <w:hyperlink r:id="rId32" w:history="1">
        <w:r w:rsidR="004549EE" w:rsidRPr="00D1697C">
          <w:rPr>
            <w:rStyle w:val="Hyperlink"/>
            <w:sz w:val="22"/>
            <w:szCs w:val="22"/>
          </w:rPr>
          <w:t>https://communityhousing.org.au/our-impact/data-dashboard/</w:t>
        </w:r>
      </w:hyperlink>
    </w:p>
    <w:p w14:paraId="1E81CB79" w14:textId="77777777" w:rsidR="004549EE" w:rsidRPr="0045718D" w:rsidRDefault="004549EE" w:rsidP="004549EE">
      <w:pPr>
        <w:rPr>
          <w:rStyle w:val="Hyperlink"/>
          <w:sz w:val="22"/>
          <w:szCs w:val="22"/>
        </w:rPr>
      </w:pPr>
      <w:r>
        <w:rPr>
          <w:sz w:val="22"/>
          <w:szCs w:val="22"/>
        </w:rPr>
        <w:t xml:space="preserve">CHIA NSW </w:t>
      </w:r>
      <w:r w:rsidRPr="0045718D">
        <w:rPr>
          <w:sz w:val="22"/>
          <w:szCs w:val="22"/>
        </w:rPr>
        <w:t>affordable housing tool kit.  The Tool Kit is based on extensive research about reasons for community resistance to affordable housing, and effective ways of building support for affordable housing:</w:t>
      </w:r>
      <w:r w:rsidRPr="0045718D">
        <w:rPr>
          <w:rStyle w:val="Hyperlink"/>
          <w:sz w:val="22"/>
          <w:szCs w:val="22"/>
        </w:rPr>
        <w:t xml:space="preserve"> </w:t>
      </w:r>
    </w:p>
    <w:p w14:paraId="7467AD28" w14:textId="77777777" w:rsidR="004549EE" w:rsidRPr="0016082E" w:rsidRDefault="004549EE" w:rsidP="004549EE">
      <w:pPr>
        <w:rPr>
          <w:rStyle w:val="Hyperlink"/>
          <w:sz w:val="22"/>
          <w:szCs w:val="22"/>
          <w:highlight w:val="yellow"/>
        </w:rPr>
      </w:pPr>
      <w:r w:rsidRPr="0045718D">
        <w:rPr>
          <w:rStyle w:val="Hyperlink"/>
          <w:sz w:val="22"/>
          <w:szCs w:val="22"/>
        </w:rPr>
        <w:t>https://nswfha-my.sharepoint.com/personal/josha_communityhousing_org_au/_layouts/15/onedrive.aspx?ga=1&amp;id=%2Fpersonal%2Fjosha%5Fcommunityhousing%5Forg%5Fau%2FDocuments%2FAffordable%20Housing%20Toolkit%2FFiles</w:t>
      </w:r>
    </w:p>
    <w:p w14:paraId="486ACD51" w14:textId="77777777" w:rsidR="004549EE" w:rsidRPr="001E2A53" w:rsidRDefault="004549EE" w:rsidP="003B24EB">
      <w:pPr>
        <w:rPr>
          <w:sz w:val="22"/>
          <w:highlight w:val="yellow"/>
        </w:rPr>
      </w:pPr>
    </w:p>
    <w:p w14:paraId="44538AF2" w14:textId="77777777" w:rsidR="003B24EB" w:rsidRDefault="003B24EB" w:rsidP="0007114C">
      <w:pPr>
        <w:rPr>
          <w:sz w:val="22"/>
        </w:rPr>
      </w:pPr>
    </w:p>
    <w:sectPr w:rsidR="003B24EB" w:rsidSect="00E81EA2">
      <w:headerReference w:type="default" r:id="rId33"/>
      <w:footerReference w:type="default" r:id="rId34"/>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9146C" w14:textId="77777777" w:rsidR="00D027AD" w:rsidRDefault="00D027AD">
      <w:r>
        <w:separator/>
      </w:r>
    </w:p>
  </w:endnote>
  <w:endnote w:type="continuationSeparator" w:id="0">
    <w:p w14:paraId="4EE20E40" w14:textId="77777777" w:rsidR="00D027AD" w:rsidRDefault="00D0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1BAC6" w14:textId="77777777" w:rsidR="00D027AD" w:rsidRPr="00EC070F" w:rsidRDefault="00D027AD">
    <w:pPr>
      <w:pStyle w:val="Footer"/>
      <w:rPr>
        <w:rFonts w:cs="Arial"/>
        <w:color w:val="4C8C2B"/>
      </w:rPr>
    </w:pPr>
    <w:r w:rsidRPr="00EC070F">
      <w:rPr>
        <w:rFonts w:cs="Arial"/>
        <w:color w:val="4C8C2B"/>
      </w:rPr>
      <w:t xml:space="preserve">www.facs.nsw.gov.au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AF0EB" w14:textId="77777777" w:rsidR="00D027AD" w:rsidRDefault="00D027AD">
      <w:r>
        <w:separator/>
      </w:r>
    </w:p>
  </w:footnote>
  <w:footnote w:type="continuationSeparator" w:id="0">
    <w:p w14:paraId="67B36D58" w14:textId="77777777" w:rsidR="00D027AD" w:rsidRDefault="00D02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4911" w14:textId="77777777" w:rsidR="00D027AD" w:rsidRDefault="00D027AD" w:rsidP="00E76895">
    <w:pPr>
      <w:pStyle w:val="Factsheet"/>
      <w:ind w:left="7200"/>
      <w:jc w:val="left"/>
    </w:pPr>
    <w:r>
      <w:rPr>
        <w:noProof/>
      </w:rPr>
      <w:drawing>
        <wp:anchor distT="0" distB="0" distL="114300" distR="114300" simplePos="0" relativeHeight="251657728" behindDoc="1" locked="0" layoutInCell="1" allowOverlap="1" wp14:anchorId="32F13467" wp14:editId="6A742011">
          <wp:simplePos x="0" y="0"/>
          <wp:positionH relativeFrom="column">
            <wp:posOffset>-1135380</wp:posOffset>
          </wp:positionH>
          <wp:positionV relativeFrom="paragraph">
            <wp:posOffset>0</wp:posOffset>
          </wp:positionV>
          <wp:extent cx="7543800" cy="1699260"/>
          <wp:effectExtent l="0" t="0" r="0" b="0"/>
          <wp:wrapNone/>
          <wp:docPr id="8" name="Picture 8" descr="The document header is primarily decorative."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321_FACS_FactSheet_headers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99260"/>
                  </a:xfrm>
                  <a:prstGeom prst="rect">
                    <a:avLst/>
                  </a:prstGeom>
                  <a:noFill/>
                  <a:ln>
                    <a:noFill/>
                  </a:ln>
                </pic:spPr>
              </pic:pic>
            </a:graphicData>
          </a:graphic>
          <wp14:sizeRelH relativeFrom="page">
            <wp14:pctWidth>0</wp14:pctWidth>
          </wp14:sizeRelH>
          <wp14:sizeRelV relativeFrom="page">
            <wp14:pctHeight>0</wp14:pctHeight>
          </wp14:sizeRelV>
        </wp:anchor>
      </w:drawing>
    </w:r>
    <w:r>
      <w:br/>
    </w:r>
  </w:p>
  <w:p w14:paraId="2F83B8BD" w14:textId="77777777" w:rsidR="00D027AD" w:rsidRPr="001F5B89" w:rsidRDefault="00D027AD" w:rsidP="001909CA">
    <w:pPr>
      <w:pStyle w:val="Issuedate"/>
    </w:pPr>
    <w:r>
      <w:br/>
    </w:r>
  </w:p>
  <w:p w14:paraId="6B5300E6" w14:textId="77777777" w:rsidR="00D027AD" w:rsidRPr="001909CA" w:rsidRDefault="00D027AD" w:rsidP="001909CA">
    <w:pPr>
      <w:ind w:right="-1054"/>
      <w:jc w:val="right"/>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71C"/>
    <w:multiLevelType w:val="hybridMultilevel"/>
    <w:tmpl w:val="9BF825B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B420E0"/>
    <w:multiLevelType w:val="hybridMultilevel"/>
    <w:tmpl w:val="D9A8A53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541F04"/>
    <w:multiLevelType w:val="hybridMultilevel"/>
    <w:tmpl w:val="4D0C15D4"/>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A809D8"/>
    <w:multiLevelType w:val="hybridMultilevel"/>
    <w:tmpl w:val="BA74ABD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D30644C"/>
    <w:multiLevelType w:val="hybridMultilevel"/>
    <w:tmpl w:val="153048FE"/>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9A389D"/>
    <w:multiLevelType w:val="hybridMultilevel"/>
    <w:tmpl w:val="4B8247C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592023B"/>
    <w:multiLevelType w:val="hybridMultilevel"/>
    <w:tmpl w:val="A860DDB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0F44E5D"/>
    <w:multiLevelType w:val="hybridMultilevel"/>
    <w:tmpl w:val="0DD27D8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70522A"/>
    <w:multiLevelType w:val="hybridMultilevel"/>
    <w:tmpl w:val="B4B6613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14C4A12"/>
    <w:multiLevelType w:val="hybridMultilevel"/>
    <w:tmpl w:val="A28C3D1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5B86D69"/>
    <w:multiLevelType w:val="hybridMultilevel"/>
    <w:tmpl w:val="9A6241A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903314B"/>
    <w:multiLevelType w:val="hybridMultilevel"/>
    <w:tmpl w:val="D0F24F8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D770B"/>
    <w:multiLevelType w:val="hybridMultilevel"/>
    <w:tmpl w:val="86AAD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8C72334"/>
    <w:multiLevelType w:val="hybridMultilevel"/>
    <w:tmpl w:val="17C412C6"/>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CC259A7"/>
    <w:multiLevelType w:val="hybridMultilevel"/>
    <w:tmpl w:val="9B4E686C"/>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F592B3A"/>
    <w:multiLevelType w:val="hybridMultilevel"/>
    <w:tmpl w:val="B8AE8A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A00CF0"/>
    <w:multiLevelType w:val="multilevel"/>
    <w:tmpl w:val="7F48644A"/>
    <w:styleLink w:val="Bulletpoint"/>
    <w:lvl w:ilvl="0">
      <w:start w:val="1"/>
      <w:numFmt w:val="bullet"/>
      <w:pStyle w:val="Bulletedlist"/>
      <w:lvlText w:val=""/>
      <w:lvlJc w:val="left"/>
      <w:pPr>
        <w:tabs>
          <w:tab w:val="num" w:pos="227"/>
        </w:tabs>
        <w:ind w:left="227" w:hanging="227"/>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0D7E3B"/>
    <w:multiLevelType w:val="hybridMultilevel"/>
    <w:tmpl w:val="C7AA6D70"/>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18" w15:restartNumberingAfterBreak="0">
    <w:nsid w:val="68A37150"/>
    <w:multiLevelType w:val="hybridMultilevel"/>
    <w:tmpl w:val="9976ACB0"/>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E0C20BF"/>
    <w:multiLevelType w:val="hybridMultilevel"/>
    <w:tmpl w:val="B9D2389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21B3DA4"/>
    <w:multiLevelType w:val="hybridMultilevel"/>
    <w:tmpl w:val="EFB23F9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91148D2"/>
    <w:multiLevelType w:val="hybridMultilevel"/>
    <w:tmpl w:val="7E063D4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968683C"/>
    <w:multiLevelType w:val="hybridMultilevel"/>
    <w:tmpl w:val="C9708C7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929895374">
    <w:abstractNumId w:val="16"/>
  </w:num>
  <w:num w:numId="2" w16cid:durableId="817693141">
    <w:abstractNumId w:val="13"/>
  </w:num>
  <w:num w:numId="3" w16cid:durableId="1805198111">
    <w:abstractNumId w:val="21"/>
  </w:num>
  <w:num w:numId="4" w16cid:durableId="1207258451">
    <w:abstractNumId w:val="12"/>
  </w:num>
  <w:num w:numId="5" w16cid:durableId="1729184959">
    <w:abstractNumId w:val="15"/>
  </w:num>
  <w:num w:numId="6" w16cid:durableId="1082994576">
    <w:abstractNumId w:val="9"/>
  </w:num>
  <w:num w:numId="7" w16cid:durableId="1453983834">
    <w:abstractNumId w:val="19"/>
  </w:num>
  <w:num w:numId="8" w16cid:durableId="1120107175">
    <w:abstractNumId w:val="4"/>
  </w:num>
  <w:num w:numId="9" w16cid:durableId="713431575">
    <w:abstractNumId w:val="5"/>
  </w:num>
  <w:num w:numId="10" w16cid:durableId="1406607163">
    <w:abstractNumId w:val="22"/>
  </w:num>
  <w:num w:numId="11" w16cid:durableId="325324663">
    <w:abstractNumId w:val="10"/>
  </w:num>
  <w:num w:numId="12" w16cid:durableId="1943756061">
    <w:abstractNumId w:val="0"/>
  </w:num>
  <w:num w:numId="13" w16cid:durableId="1091901194">
    <w:abstractNumId w:val="2"/>
  </w:num>
  <w:num w:numId="14" w16cid:durableId="238951852">
    <w:abstractNumId w:val="20"/>
  </w:num>
  <w:num w:numId="15" w16cid:durableId="67457874">
    <w:abstractNumId w:val="17"/>
  </w:num>
  <w:num w:numId="16" w16cid:durableId="1442603172">
    <w:abstractNumId w:val="7"/>
  </w:num>
  <w:num w:numId="17" w16cid:durableId="1697345907">
    <w:abstractNumId w:val="3"/>
  </w:num>
  <w:num w:numId="18" w16cid:durableId="1290626988">
    <w:abstractNumId w:val="14"/>
  </w:num>
  <w:num w:numId="19" w16cid:durableId="204678759">
    <w:abstractNumId w:val="18"/>
  </w:num>
  <w:num w:numId="20" w16cid:durableId="1471171774">
    <w:abstractNumId w:val="11"/>
  </w:num>
  <w:num w:numId="21" w16cid:durableId="1302803844">
    <w:abstractNumId w:val="8"/>
  </w:num>
  <w:num w:numId="22" w16cid:durableId="218563929">
    <w:abstractNumId w:val="6"/>
  </w:num>
  <w:num w:numId="23" w16cid:durableId="148769789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2B"/>
    <w:rsid w:val="00000E6B"/>
    <w:rsid w:val="000020E7"/>
    <w:rsid w:val="00002385"/>
    <w:rsid w:val="0000537C"/>
    <w:rsid w:val="000073E7"/>
    <w:rsid w:val="000102F9"/>
    <w:rsid w:val="000128F8"/>
    <w:rsid w:val="00012973"/>
    <w:rsid w:val="00014DFA"/>
    <w:rsid w:val="0001509B"/>
    <w:rsid w:val="0002002B"/>
    <w:rsid w:val="0002385F"/>
    <w:rsid w:val="000238BE"/>
    <w:rsid w:val="00024108"/>
    <w:rsid w:val="00025B62"/>
    <w:rsid w:val="0002652D"/>
    <w:rsid w:val="000301A0"/>
    <w:rsid w:val="00030840"/>
    <w:rsid w:val="000329C1"/>
    <w:rsid w:val="000331DB"/>
    <w:rsid w:val="000351F4"/>
    <w:rsid w:val="0003643E"/>
    <w:rsid w:val="00037B86"/>
    <w:rsid w:val="000411E5"/>
    <w:rsid w:val="00042E77"/>
    <w:rsid w:val="0004492A"/>
    <w:rsid w:val="00045AF7"/>
    <w:rsid w:val="000463E9"/>
    <w:rsid w:val="00047744"/>
    <w:rsid w:val="00050277"/>
    <w:rsid w:val="000545D9"/>
    <w:rsid w:val="00054D7D"/>
    <w:rsid w:val="000610BC"/>
    <w:rsid w:val="00062436"/>
    <w:rsid w:val="00064BA4"/>
    <w:rsid w:val="00066653"/>
    <w:rsid w:val="00067212"/>
    <w:rsid w:val="00067E94"/>
    <w:rsid w:val="000700F6"/>
    <w:rsid w:val="0007114C"/>
    <w:rsid w:val="00071AC1"/>
    <w:rsid w:val="00071F45"/>
    <w:rsid w:val="0007285B"/>
    <w:rsid w:val="0007502D"/>
    <w:rsid w:val="0007553F"/>
    <w:rsid w:val="000756EB"/>
    <w:rsid w:val="0007698C"/>
    <w:rsid w:val="0007784F"/>
    <w:rsid w:val="000808D2"/>
    <w:rsid w:val="000825C2"/>
    <w:rsid w:val="00082EDE"/>
    <w:rsid w:val="0008467A"/>
    <w:rsid w:val="00086B8E"/>
    <w:rsid w:val="0009596E"/>
    <w:rsid w:val="00095D8D"/>
    <w:rsid w:val="00096208"/>
    <w:rsid w:val="00096C91"/>
    <w:rsid w:val="00096EE0"/>
    <w:rsid w:val="000A0F1E"/>
    <w:rsid w:val="000A5290"/>
    <w:rsid w:val="000A5608"/>
    <w:rsid w:val="000A6642"/>
    <w:rsid w:val="000A7162"/>
    <w:rsid w:val="000B2634"/>
    <w:rsid w:val="000B2A74"/>
    <w:rsid w:val="000B3FA4"/>
    <w:rsid w:val="000B56D8"/>
    <w:rsid w:val="000B61E9"/>
    <w:rsid w:val="000B7422"/>
    <w:rsid w:val="000B75EB"/>
    <w:rsid w:val="000C0268"/>
    <w:rsid w:val="000C05CF"/>
    <w:rsid w:val="000C3245"/>
    <w:rsid w:val="000C662F"/>
    <w:rsid w:val="000C6B1E"/>
    <w:rsid w:val="000D2599"/>
    <w:rsid w:val="000D3152"/>
    <w:rsid w:val="000D5871"/>
    <w:rsid w:val="000D7FA3"/>
    <w:rsid w:val="000E078B"/>
    <w:rsid w:val="000E182F"/>
    <w:rsid w:val="000E1E21"/>
    <w:rsid w:val="000E7008"/>
    <w:rsid w:val="000F053E"/>
    <w:rsid w:val="000F1155"/>
    <w:rsid w:val="000F1F6F"/>
    <w:rsid w:val="000F249F"/>
    <w:rsid w:val="000F2EE8"/>
    <w:rsid w:val="000F3370"/>
    <w:rsid w:val="000F4442"/>
    <w:rsid w:val="000F50B8"/>
    <w:rsid w:val="000F6CE6"/>
    <w:rsid w:val="00101958"/>
    <w:rsid w:val="00104FC4"/>
    <w:rsid w:val="00113B05"/>
    <w:rsid w:val="00117158"/>
    <w:rsid w:val="001174B1"/>
    <w:rsid w:val="00120F10"/>
    <w:rsid w:val="00122CAE"/>
    <w:rsid w:val="0012441C"/>
    <w:rsid w:val="001266C1"/>
    <w:rsid w:val="0013027E"/>
    <w:rsid w:val="00131EA4"/>
    <w:rsid w:val="00132F07"/>
    <w:rsid w:val="001344D3"/>
    <w:rsid w:val="001344DC"/>
    <w:rsid w:val="00135905"/>
    <w:rsid w:val="00137892"/>
    <w:rsid w:val="00137F70"/>
    <w:rsid w:val="00140885"/>
    <w:rsid w:val="001409F6"/>
    <w:rsid w:val="00142DBC"/>
    <w:rsid w:val="001441BA"/>
    <w:rsid w:val="00145CE5"/>
    <w:rsid w:val="00146DD9"/>
    <w:rsid w:val="001501E7"/>
    <w:rsid w:val="0015103D"/>
    <w:rsid w:val="00151375"/>
    <w:rsid w:val="001513E0"/>
    <w:rsid w:val="001517A4"/>
    <w:rsid w:val="00152CFA"/>
    <w:rsid w:val="00156081"/>
    <w:rsid w:val="00162916"/>
    <w:rsid w:val="00163B75"/>
    <w:rsid w:val="00165BCC"/>
    <w:rsid w:val="0016630F"/>
    <w:rsid w:val="001663F4"/>
    <w:rsid w:val="001669DC"/>
    <w:rsid w:val="0017182A"/>
    <w:rsid w:val="00171F63"/>
    <w:rsid w:val="001742EA"/>
    <w:rsid w:val="00175CFF"/>
    <w:rsid w:val="0017634D"/>
    <w:rsid w:val="00177837"/>
    <w:rsid w:val="00181BB0"/>
    <w:rsid w:val="00182CDB"/>
    <w:rsid w:val="00184737"/>
    <w:rsid w:val="001909CA"/>
    <w:rsid w:val="0019227A"/>
    <w:rsid w:val="00197B58"/>
    <w:rsid w:val="001A0A02"/>
    <w:rsid w:val="001A3409"/>
    <w:rsid w:val="001B00B6"/>
    <w:rsid w:val="001B17A1"/>
    <w:rsid w:val="001B27D6"/>
    <w:rsid w:val="001B2A55"/>
    <w:rsid w:val="001B2D4C"/>
    <w:rsid w:val="001B3A46"/>
    <w:rsid w:val="001B4A6B"/>
    <w:rsid w:val="001B4D62"/>
    <w:rsid w:val="001B79B1"/>
    <w:rsid w:val="001C15E4"/>
    <w:rsid w:val="001C2D6F"/>
    <w:rsid w:val="001C37D4"/>
    <w:rsid w:val="001C6396"/>
    <w:rsid w:val="001C71A1"/>
    <w:rsid w:val="001D144E"/>
    <w:rsid w:val="001D3CC0"/>
    <w:rsid w:val="001D3CE1"/>
    <w:rsid w:val="001D77A4"/>
    <w:rsid w:val="001E12EE"/>
    <w:rsid w:val="001E2A53"/>
    <w:rsid w:val="001E556C"/>
    <w:rsid w:val="001E783A"/>
    <w:rsid w:val="001F2B5D"/>
    <w:rsid w:val="001F3B60"/>
    <w:rsid w:val="001F46C1"/>
    <w:rsid w:val="001F5B89"/>
    <w:rsid w:val="001F5E9F"/>
    <w:rsid w:val="001F6FFC"/>
    <w:rsid w:val="002010FF"/>
    <w:rsid w:val="00201EC7"/>
    <w:rsid w:val="00203AFA"/>
    <w:rsid w:val="00203E2F"/>
    <w:rsid w:val="00203F4C"/>
    <w:rsid w:val="0020617A"/>
    <w:rsid w:val="00206468"/>
    <w:rsid w:val="0021405C"/>
    <w:rsid w:val="002140CA"/>
    <w:rsid w:val="00215557"/>
    <w:rsid w:val="002177B4"/>
    <w:rsid w:val="00217B75"/>
    <w:rsid w:val="00220972"/>
    <w:rsid w:val="00223136"/>
    <w:rsid w:val="002261DF"/>
    <w:rsid w:val="00226F44"/>
    <w:rsid w:val="002307C5"/>
    <w:rsid w:val="0023354E"/>
    <w:rsid w:val="00235151"/>
    <w:rsid w:val="00237B30"/>
    <w:rsid w:val="002407D0"/>
    <w:rsid w:val="002422C8"/>
    <w:rsid w:val="00242BCB"/>
    <w:rsid w:val="00245811"/>
    <w:rsid w:val="0025248B"/>
    <w:rsid w:val="002552D9"/>
    <w:rsid w:val="0025780A"/>
    <w:rsid w:val="0026232D"/>
    <w:rsid w:val="00262CF8"/>
    <w:rsid w:val="0026359F"/>
    <w:rsid w:val="00263903"/>
    <w:rsid w:val="00266AEE"/>
    <w:rsid w:val="00266ECB"/>
    <w:rsid w:val="00270797"/>
    <w:rsid w:val="002718EB"/>
    <w:rsid w:val="00273A29"/>
    <w:rsid w:val="00273BD2"/>
    <w:rsid w:val="002759E0"/>
    <w:rsid w:val="002805F3"/>
    <w:rsid w:val="002815A3"/>
    <w:rsid w:val="0028254B"/>
    <w:rsid w:val="00283423"/>
    <w:rsid w:val="0028595F"/>
    <w:rsid w:val="00285DA3"/>
    <w:rsid w:val="00285F8B"/>
    <w:rsid w:val="00294596"/>
    <w:rsid w:val="002A1B3C"/>
    <w:rsid w:val="002A2478"/>
    <w:rsid w:val="002A3643"/>
    <w:rsid w:val="002A63B7"/>
    <w:rsid w:val="002A7FC0"/>
    <w:rsid w:val="002B0833"/>
    <w:rsid w:val="002B0B75"/>
    <w:rsid w:val="002B2FBC"/>
    <w:rsid w:val="002B5215"/>
    <w:rsid w:val="002B745C"/>
    <w:rsid w:val="002B79EF"/>
    <w:rsid w:val="002B7CEB"/>
    <w:rsid w:val="002C0AAF"/>
    <w:rsid w:val="002C1746"/>
    <w:rsid w:val="002C2918"/>
    <w:rsid w:val="002C2A57"/>
    <w:rsid w:val="002C48DC"/>
    <w:rsid w:val="002C546D"/>
    <w:rsid w:val="002C75FA"/>
    <w:rsid w:val="002C7846"/>
    <w:rsid w:val="002D2808"/>
    <w:rsid w:val="002D3BDF"/>
    <w:rsid w:val="002D3D98"/>
    <w:rsid w:val="002D473B"/>
    <w:rsid w:val="002D7FF1"/>
    <w:rsid w:val="002E1475"/>
    <w:rsid w:val="002E1616"/>
    <w:rsid w:val="002E4809"/>
    <w:rsid w:val="002E5E5E"/>
    <w:rsid w:val="002E7126"/>
    <w:rsid w:val="002F11C1"/>
    <w:rsid w:val="002F194D"/>
    <w:rsid w:val="002F1BF6"/>
    <w:rsid w:val="002F4E30"/>
    <w:rsid w:val="002F5488"/>
    <w:rsid w:val="002F55C3"/>
    <w:rsid w:val="002F61A0"/>
    <w:rsid w:val="002F7EDC"/>
    <w:rsid w:val="00300844"/>
    <w:rsid w:val="003033E8"/>
    <w:rsid w:val="00305829"/>
    <w:rsid w:val="00307D53"/>
    <w:rsid w:val="0031124B"/>
    <w:rsid w:val="003117CD"/>
    <w:rsid w:val="003137FD"/>
    <w:rsid w:val="00315506"/>
    <w:rsid w:val="00315796"/>
    <w:rsid w:val="003173AB"/>
    <w:rsid w:val="00320D58"/>
    <w:rsid w:val="00322683"/>
    <w:rsid w:val="0032390F"/>
    <w:rsid w:val="00326803"/>
    <w:rsid w:val="003306A3"/>
    <w:rsid w:val="00330901"/>
    <w:rsid w:val="00331D22"/>
    <w:rsid w:val="00333D00"/>
    <w:rsid w:val="00334EDE"/>
    <w:rsid w:val="0033547A"/>
    <w:rsid w:val="0034140D"/>
    <w:rsid w:val="00343FC0"/>
    <w:rsid w:val="00344659"/>
    <w:rsid w:val="003451FB"/>
    <w:rsid w:val="003511BA"/>
    <w:rsid w:val="003514DE"/>
    <w:rsid w:val="003519E4"/>
    <w:rsid w:val="00351E80"/>
    <w:rsid w:val="0035247A"/>
    <w:rsid w:val="00352D3F"/>
    <w:rsid w:val="0035373B"/>
    <w:rsid w:val="0035543A"/>
    <w:rsid w:val="003560A6"/>
    <w:rsid w:val="00360C09"/>
    <w:rsid w:val="00360DB5"/>
    <w:rsid w:val="00360EA0"/>
    <w:rsid w:val="003612DA"/>
    <w:rsid w:val="00361FD8"/>
    <w:rsid w:val="00371240"/>
    <w:rsid w:val="00371613"/>
    <w:rsid w:val="00373822"/>
    <w:rsid w:val="00374198"/>
    <w:rsid w:val="003806CA"/>
    <w:rsid w:val="003807CA"/>
    <w:rsid w:val="00381A66"/>
    <w:rsid w:val="00382DD2"/>
    <w:rsid w:val="00383F13"/>
    <w:rsid w:val="003864CF"/>
    <w:rsid w:val="003869F8"/>
    <w:rsid w:val="00393363"/>
    <w:rsid w:val="00394F0A"/>
    <w:rsid w:val="003A0D8E"/>
    <w:rsid w:val="003A2183"/>
    <w:rsid w:val="003A2DAE"/>
    <w:rsid w:val="003A5057"/>
    <w:rsid w:val="003A5B11"/>
    <w:rsid w:val="003A60EC"/>
    <w:rsid w:val="003A66E0"/>
    <w:rsid w:val="003A74D7"/>
    <w:rsid w:val="003B109B"/>
    <w:rsid w:val="003B1954"/>
    <w:rsid w:val="003B2029"/>
    <w:rsid w:val="003B24EB"/>
    <w:rsid w:val="003B312B"/>
    <w:rsid w:val="003B4FA9"/>
    <w:rsid w:val="003B5958"/>
    <w:rsid w:val="003B76E6"/>
    <w:rsid w:val="003B7C6B"/>
    <w:rsid w:val="003C1DDD"/>
    <w:rsid w:val="003C278A"/>
    <w:rsid w:val="003C497F"/>
    <w:rsid w:val="003C53C7"/>
    <w:rsid w:val="003C61BC"/>
    <w:rsid w:val="003D3F7D"/>
    <w:rsid w:val="003D6256"/>
    <w:rsid w:val="003D74B2"/>
    <w:rsid w:val="003E027E"/>
    <w:rsid w:val="003E040E"/>
    <w:rsid w:val="003E2B10"/>
    <w:rsid w:val="003E2F4C"/>
    <w:rsid w:val="003E3494"/>
    <w:rsid w:val="003F0F71"/>
    <w:rsid w:val="003F12EE"/>
    <w:rsid w:val="003F1D65"/>
    <w:rsid w:val="003F4AE1"/>
    <w:rsid w:val="003F5D47"/>
    <w:rsid w:val="003F7832"/>
    <w:rsid w:val="00403E95"/>
    <w:rsid w:val="00403ECB"/>
    <w:rsid w:val="00403FA3"/>
    <w:rsid w:val="00404713"/>
    <w:rsid w:val="0040506B"/>
    <w:rsid w:val="00413496"/>
    <w:rsid w:val="00414BFB"/>
    <w:rsid w:val="004157A1"/>
    <w:rsid w:val="0041637F"/>
    <w:rsid w:val="00417530"/>
    <w:rsid w:val="004209CB"/>
    <w:rsid w:val="00422F58"/>
    <w:rsid w:val="004250D1"/>
    <w:rsid w:val="00426C75"/>
    <w:rsid w:val="00426CCF"/>
    <w:rsid w:val="0042762C"/>
    <w:rsid w:val="0043154E"/>
    <w:rsid w:val="00431C7D"/>
    <w:rsid w:val="00431CF3"/>
    <w:rsid w:val="00433911"/>
    <w:rsid w:val="00433F77"/>
    <w:rsid w:val="00435FBE"/>
    <w:rsid w:val="0043730B"/>
    <w:rsid w:val="00437E31"/>
    <w:rsid w:val="00443223"/>
    <w:rsid w:val="004450E5"/>
    <w:rsid w:val="0044752C"/>
    <w:rsid w:val="0044771E"/>
    <w:rsid w:val="00450F8A"/>
    <w:rsid w:val="00452E1A"/>
    <w:rsid w:val="004549EE"/>
    <w:rsid w:val="00456D1B"/>
    <w:rsid w:val="004578D4"/>
    <w:rsid w:val="004624CA"/>
    <w:rsid w:val="00462C0D"/>
    <w:rsid w:val="00463348"/>
    <w:rsid w:val="00463693"/>
    <w:rsid w:val="00465278"/>
    <w:rsid w:val="00465B77"/>
    <w:rsid w:val="00465CA9"/>
    <w:rsid w:val="00471331"/>
    <w:rsid w:val="00471904"/>
    <w:rsid w:val="00471FED"/>
    <w:rsid w:val="00472613"/>
    <w:rsid w:val="00474D1F"/>
    <w:rsid w:val="00477082"/>
    <w:rsid w:val="0047716D"/>
    <w:rsid w:val="00482A4A"/>
    <w:rsid w:val="00483E4D"/>
    <w:rsid w:val="00484FED"/>
    <w:rsid w:val="00486ADF"/>
    <w:rsid w:val="00487C45"/>
    <w:rsid w:val="004901C6"/>
    <w:rsid w:val="004909FF"/>
    <w:rsid w:val="00492B05"/>
    <w:rsid w:val="004955BF"/>
    <w:rsid w:val="00497695"/>
    <w:rsid w:val="00497A81"/>
    <w:rsid w:val="004A2944"/>
    <w:rsid w:val="004A39D0"/>
    <w:rsid w:val="004A6DD8"/>
    <w:rsid w:val="004B4725"/>
    <w:rsid w:val="004B47D6"/>
    <w:rsid w:val="004B64DE"/>
    <w:rsid w:val="004B73E4"/>
    <w:rsid w:val="004C4253"/>
    <w:rsid w:val="004C46B8"/>
    <w:rsid w:val="004C4868"/>
    <w:rsid w:val="004C7CEB"/>
    <w:rsid w:val="004D006D"/>
    <w:rsid w:val="004D018A"/>
    <w:rsid w:val="004D349C"/>
    <w:rsid w:val="004D3681"/>
    <w:rsid w:val="004D5B78"/>
    <w:rsid w:val="004D5B8A"/>
    <w:rsid w:val="004D5D40"/>
    <w:rsid w:val="004D7EA7"/>
    <w:rsid w:val="004E63F8"/>
    <w:rsid w:val="004F5225"/>
    <w:rsid w:val="004F68F4"/>
    <w:rsid w:val="00500814"/>
    <w:rsid w:val="00501A40"/>
    <w:rsid w:val="005026FF"/>
    <w:rsid w:val="0050731C"/>
    <w:rsid w:val="00512431"/>
    <w:rsid w:val="005138C1"/>
    <w:rsid w:val="00513B31"/>
    <w:rsid w:val="00514165"/>
    <w:rsid w:val="00514203"/>
    <w:rsid w:val="00515388"/>
    <w:rsid w:val="00516195"/>
    <w:rsid w:val="005176D3"/>
    <w:rsid w:val="00517D85"/>
    <w:rsid w:val="00530332"/>
    <w:rsid w:val="00532867"/>
    <w:rsid w:val="00534FC5"/>
    <w:rsid w:val="005362AF"/>
    <w:rsid w:val="00537C3A"/>
    <w:rsid w:val="00540306"/>
    <w:rsid w:val="00540BEA"/>
    <w:rsid w:val="00542D54"/>
    <w:rsid w:val="005501FF"/>
    <w:rsid w:val="00552DEE"/>
    <w:rsid w:val="00557D72"/>
    <w:rsid w:val="0056136E"/>
    <w:rsid w:val="00564903"/>
    <w:rsid w:val="00564A6D"/>
    <w:rsid w:val="00566044"/>
    <w:rsid w:val="005674AF"/>
    <w:rsid w:val="00567A30"/>
    <w:rsid w:val="00572BE1"/>
    <w:rsid w:val="00572CB5"/>
    <w:rsid w:val="005736B4"/>
    <w:rsid w:val="00573960"/>
    <w:rsid w:val="0057662F"/>
    <w:rsid w:val="00577525"/>
    <w:rsid w:val="0058035E"/>
    <w:rsid w:val="00581AED"/>
    <w:rsid w:val="00581C6C"/>
    <w:rsid w:val="00584469"/>
    <w:rsid w:val="0058515E"/>
    <w:rsid w:val="005852F8"/>
    <w:rsid w:val="005859FB"/>
    <w:rsid w:val="00585E90"/>
    <w:rsid w:val="00587B7D"/>
    <w:rsid w:val="00587FC3"/>
    <w:rsid w:val="005927CC"/>
    <w:rsid w:val="005A14CC"/>
    <w:rsid w:val="005A2F57"/>
    <w:rsid w:val="005A576C"/>
    <w:rsid w:val="005A5F47"/>
    <w:rsid w:val="005A74E6"/>
    <w:rsid w:val="005B05EB"/>
    <w:rsid w:val="005B16C1"/>
    <w:rsid w:val="005B3E6F"/>
    <w:rsid w:val="005B5731"/>
    <w:rsid w:val="005B72A1"/>
    <w:rsid w:val="005C03C7"/>
    <w:rsid w:val="005C0C76"/>
    <w:rsid w:val="005C1A32"/>
    <w:rsid w:val="005C3829"/>
    <w:rsid w:val="005C4A8B"/>
    <w:rsid w:val="005D2418"/>
    <w:rsid w:val="005D3C1E"/>
    <w:rsid w:val="005D5243"/>
    <w:rsid w:val="005E0EC4"/>
    <w:rsid w:val="005E2DE4"/>
    <w:rsid w:val="005E304F"/>
    <w:rsid w:val="005E4202"/>
    <w:rsid w:val="005E5D5C"/>
    <w:rsid w:val="005F265C"/>
    <w:rsid w:val="005F47CF"/>
    <w:rsid w:val="005F68CF"/>
    <w:rsid w:val="005F6970"/>
    <w:rsid w:val="005F7C64"/>
    <w:rsid w:val="00602487"/>
    <w:rsid w:val="00602501"/>
    <w:rsid w:val="00602E79"/>
    <w:rsid w:val="006047A5"/>
    <w:rsid w:val="00606514"/>
    <w:rsid w:val="00606598"/>
    <w:rsid w:val="00606934"/>
    <w:rsid w:val="00613274"/>
    <w:rsid w:val="00616FBF"/>
    <w:rsid w:val="0062186B"/>
    <w:rsid w:val="0062259C"/>
    <w:rsid w:val="00623DB4"/>
    <w:rsid w:val="00624F0D"/>
    <w:rsid w:val="00625C93"/>
    <w:rsid w:val="00626515"/>
    <w:rsid w:val="006268D0"/>
    <w:rsid w:val="0063059C"/>
    <w:rsid w:val="00635154"/>
    <w:rsid w:val="006407A6"/>
    <w:rsid w:val="00641B08"/>
    <w:rsid w:val="006454C0"/>
    <w:rsid w:val="006469C0"/>
    <w:rsid w:val="00647884"/>
    <w:rsid w:val="00652E2E"/>
    <w:rsid w:val="0065591A"/>
    <w:rsid w:val="006560D6"/>
    <w:rsid w:val="00656D1A"/>
    <w:rsid w:val="00657E24"/>
    <w:rsid w:val="006604A0"/>
    <w:rsid w:val="00662AB0"/>
    <w:rsid w:val="00662ABD"/>
    <w:rsid w:val="006632AB"/>
    <w:rsid w:val="0066560E"/>
    <w:rsid w:val="00667F27"/>
    <w:rsid w:val="00672BBF"/>
    <w:rsid w:val="00673F44"/>
    <w:rsid w:val="0067451E"/>
    <w:rsid w:val="00675CB8"/>
    <w:rsid w:val="00676748"/>
    <w:rsid w:val="00681CB1"/>
    <w:rsid w:val="0068374C"/>
    <w:rsid w:val="00684100"/>
    <w:rsid w:val="00684B43"/>
    <w:rsid w:val="00693256"/>
    <w:rsid w:val="0069529F"/>
    <w:rsid w:val="00696D0A"/>
    <w:rsid w:val="006971DF"/>
    <w:rsid w:val="006A0046"/>
    <w:rsid w:val="006A32F0"/>
    <w:rsid w:val="006A3F87"/>
    <w:rsid w:val="006A5D5F"/>
    <w:rsid w:val="006A6DB1"/>
    <w:rsid w:val="006B04CD"/>
    <w:rsid w:val="006B33CD"/>
    <w:rsid w:val="006B3C4F"/>
    <w:rsid w:val="006B4028"/>
    <w:rsid w:val="006B480C"/>
    <w:rsid w:val="006B493D"/>
    <w:rsid w:val="006B5340"/>
    <w:rsid w:val="006B5948"/>
    <w:rsid w:val="006B728D"/>
    <w:rsid w:val="006C0C3B"/>
    <w:rsid w:val="006C4501"/>
    <w:rsid w:val="006C47B1"/>
    <w:rsid w:val="006D09A8"/>
    <w:rsid w:val="006D1E36"/>
    <w:rsid w:val="006D2E28"/>
    <w:rsid w:val="006D3878"/>
    <w:rsid w:val="006D6D40"/>
    <w:rsid w:val="006E3BEB"/>
    <w:rsid w:val="006E56D0"/>
    <w:rsid w:val="006E79A0"/>
    <w:rsid w:val="006F0E4E"/>
    <w:rsid w:val="006F1DD2"/>
    <w:rsid w:val="006F1FCB"/>
    <w:rsid w:val="006F3E7B"/>
    <w:rsid w:val="006F4102"/>
    <w:rsid w:val="006F678D"/>
    <w:rsid w:val="006F7E8A"/>
    <w:rsid w:val="00700862"/>
    <w:rsid w:val="00700FFE"/>
    <w:rsid w:val="0070389C"/>
    <w:rsid w:val="007039F2"/>
    <w:rsid w:val="00703E2D"/>
    <w:rsid w:val="00705798"/>
    <w:rsid w:val="00706202"/>
    <w:rsid w:val="00706E5A"/>
    <w:rsid w:val="00707B6E"/>
    <w:rsid w:val="00711F21"/>
    <w:rsid w:val="007129F3"/>
    <w:rsid w:val="007143CA"/>
    <w:rsid w:val="00715D71"/>
    <w:rsid w:val="0072085C"/>
    <w:rsid w:val="00720BE7"/>
    <w:rsid w:val="00722530"/>
    <w:rsid w:val="007225CF"/>
    <w:rsid w:val="007227F3"/>
    <w:rsid w:val="00722BDC"/>
    <w:rsid w:val="00724361"/>
    <w:rsid w:val="0072526F"/>
    <w:rsid w:val="00725308"/>
    <w:rsid w:val="00726BCE"/>
    <w:rsid w:val="00730305"/>
    <w:rsid w:val="00730C7D"/>
    <w:rsid w:val="00735662"/>
    <w:rsid w:val="00735D7C"/>
    <w:rsid w:val="00736BFA"/>
    <w:rsid w:val="0073706D"/>
    <w:rsid w:val="007370A0"/>
    <w:rsid w:val="007373FB"/>
    <w:rsid w:val="00737805"/>
    <w:rsid w:val="00740E3B"/>
    <w:rsid w:val="007418B7"/>
    <w:rsid w:val="00752A34"/>
    <w:rsid w:val="0075359D"/>
    <w:rsid w:val="007539EE"/>
    <w:rsid w:val="00754EE4"/>
    <w:rsid w:val="00756146"/>
    <w:rsid w:val="00760AA8"/>
    <w:rsid w:val="00761AA7"/>
    <w:rsid w:val="00761B41"/>
    <w:rsid w:val="00763078"/>
    <w:rsid w:val="007653AC"/>
    <w:rsid w:val="00766847"/>
    <w:rsid w:val="007712A3"/>
    <w:rsid w:val="007719DB"/>
    <w:rsid w:val="00772F9B"/>
    <w:rsid w:val="00773342"/>
    <w:rsid w:val="00773F9A"/>
    <w:rsid w:val="007744E4"/>
    <w:rsid w:val="007775C2"/>
    <w:rsid w:val="0078400F"/>
    <w:rsid w:val="007870F3"/>
    <w:rsid w:val="007904E8"/>
    <w:rsid w:val="00794002"/>
    <w:rsid w:val="00794B8E"/>
    <w:rsid w:val="007A0631"/>
    <w:rsid w:val="007A1752"/>
    <w:rsid w:val="007A2415"/>
    <w:rsid w:val="007A4ACF"/>
    <w:rsid w:val="007A4B0B"/>
    <w:rsid w:val="007A5679"/>
    <w:rsid w:val="007A7B79"/>
    <w:rsid w:val="007B10A1"/>
    <w:rsid w:val="007B796A"/>
    <w:rsid w:val="007B7C95"/>
    <w:rsid w:val="007C0410"/>
    <w:rsid w:val="007C2068"/>
    <w:rsid w:val="007C314E"/>
    <w:rsid w:val="007C4939"/>
    <w:rsid w:val="007C5444"/>
    <w:rsid w:val="007C72A0"/>
    <w:rsid w:val="007D0D89"/>
    <w:rsid w:val="007D5C84"/>
    <w:rsid w:val="007D612F"/>
    <w:rsid w:val="007D7250"/>
    <w:rsid w:val="007D7989"/>
    <w:rsid w:val="007E0541"/>
    <w:rsid w:val="007E283B"/>
    <w:rsid w:val="007E4104"/>
    <w:rsid w:val="007E6506"/>
    <w:rsid w:val="007E6630"/>
    <w:rsid w:val="007E69D1"/>
    <w:rsid w:val="007E74CE"/>
    <w:rsid w:val="007F0DFF"/>
    <w:rsid w:val="007F18C7"/>
    <w:rsid w:val="007F21E1"/>
    <w:rsid w:val="007F249A"/>
    <w:rsid w:val="007F49B2"/>
    <w:rsid w:val="007F4BB5"/>
    <w:rsid w:val="007F4CD1"/>
    <w:rsid w:val="007F5F30"/>
    <w:rsid w:val="007F6563"/>
    <w:rsid w:val="008001A5"/>
    <w:rsid w:val="00802DD7"/>
    <w:rsid w:val="00807728"/>
    <w:rsid w:val="00810C20"/>
    <w:rsid w:val="0082299C"/>
    <w:rsid w:val="00822A85"/>
    <w:rsid w:val="008235A8"/>
    <w:rsid w:val="00823721"/>
    <w:rsid w:val="00826AE1"/>
    <w:rsid w:val="00830009"/>
    <w:rsid w:val="00830C15"/>
    <w:rsid w:val="00832FAA"/>
    <w:rsid w:val="008335D0"/>
    <w:rsid w:val="00834910"/>
    <w:rsid w:val="008355C2"/>
    <w:rsid w:val="008359C8"/>
    <w:rsid w:val="0084320C"/>
    <w:rsid w:val="00843501"/>
    <w:rsid w:val="00851D66"/>
    <w:rsid w:val="0085229E"/>
    <w:rsid w:val="00852784"/>
    <w:rsid w:val="0085449F"/>
    <w:rsid w:val="00855C78"/>
    <w:rsid w:val="00861D16"/>
    <w:rsid w:val="0086371E"/>
    <w:rsid w:val="008640CC"/>
    <w:rsid w:val="008645E3"/>
    <w:rsid w:val="00864828"/>
    <w:rsid w:val="00870743"/>
    <w:rsid w:val="008709B8"/>
    <w:rsid w:val="00872919"/>
    <w:rsid w:val="008745A6"/>
    <w:rsid w:val="0087502F"/>
    <w:rsid w:val="00877A34"/>
    <w:rsid w:val="00877A71"/>
    <w:rsid w:val="0088091F"/>
    <w:rsid w:val="00881317"/>
    <w:rsid w:val="008841B2"/>
    <w:rsid w:val="00884540"/>
    <w:rsid w:val="008873F6"/>
    <w:rsid w:val="008940F6"/>
    <w:rsid w:val="008A28DD"/>
    <w:rsid w:val="008A3A41"/>
    <w:rsid w:val="008A53DD"/>
    <w:rsid w:val="008A6A0D"/>
    <w:rsid w:val="008A7B08"/>
    <w:rsid w:val="008B1641"/>
    <w:rsid w:val="008B3B1D"/>
    <w:rsid w:val="008B4601"/>
    <w:rsid w:val="008B6191"/>
    <w:rsid w:val="008B6B17"/>
    <w:rsid w:val="008C140F"/>
    <w:rsid w:val="008C2FB2"/>
    <w:rsid w:val="008D12BF"/>
    <w:rsid w:val="008D367F"/>
    <w:rsid w:val="008D43FA"/>
    <w:rsid w:val="008D4793"/>
    <w:rsid w:val="008D4CBD"/>
    <w:rsid w:val="008D750B"/>
    <w:rsid w:val="008E03EC"/>
    <w:rsid w:val="008E2FCC"/>
    <w:rsid w:val="008E3093"/>
    <w:rsid w:val="008E398C"/>
    <w:rsid w:val="008E5B68"/>
    <w:rsid w:val="008E6C1E"/>
    <w:rsid w:val="008E7B78"/>
    <w:rsid w:val="008F19F5"/>
    <w:rsid w:val="008F2FB1"/>
    <w:rsid w:val="008F757B"/>
    <w:rsid w:val="00900828"/>
    <w:rsid w:val="00900D31"/>
    <w:rsid w:val="00903812"/>
    <w:rsid w:val="00904A57"/>
    <w:rsid w:val="00906663"/>
    <w:rsid w:val="009112FC"/>
    <w:rsid w:val="0091352A"/>
    <w:rsid w:val="00914AA2"/>
    <w:rsid w:val="00915392"/>
    <w:rsid w:val="00916AE4"/>
    <w:rsid w:val="00917E2A"/>
    <w:rsid w:val="00925E78"/>
    <w:rsid w:val="009316C0"/>
    <w:rsid w:val="00931A41"/>
    <w:rsid w:val="009320E3"/>
    <w:rsid w:val="00933915"/>
    <w:rsid w:val="00934888"/>
    <w:rsid w:val="00944CB0"/>
    <w:rsid w:val="0095060E"/>
    <w:rsid w:val="009518D2"/>
    <w:rsid w:val="00951E80"/>
    <w:rsid w:val="00952F77"/>
    <w:rsid w:val="00953E8A"/>
    <w:rsid w:val="0096334F"/>
    <w:rsid w:val="009674B8"/>
    <w:rsid w:val="00970410"/>
    <w:rsid w:val="00970D43"/>
    <w:rsid w:val="00971CE0"/>
    <w:rsid w:val="009805BD"/>
    <w:rsid w:val="0098118D"/>
    <w:rsid w:val="0098197D"/>
    <w:rsid w:val="00981E50"/>
    <w:rsid w:val="009827BA"/>
    <w:rsid w:val="0098461E"/>
    <w:rsid w:val="00985076"/>
    <w:rsid w:val="0098586D"/>
    <w:rsid w:val="00987C51"/>
    <w:rsid w:val="009928F8"/>
    <w:rsid w:val="00993166"/>
    <w:rsid w:val="00993332"/>
    <w:rsid w:val="0099637D"/>
    <w:rsid w:val="00997723"/>
    <w:rsid w:val="009A3228"/>
    <w:rsid w:val="009A577D"/>
    <w:rsid w:val="009A7C06"/>
    <w:rsid w:val="009B03A5"/>
    <w:rsid w:val="009B275D"/>
    <w:rsid w:val="009B3380"/>
    <w:rsid w:val="009B3925"/>
    <w:rsid w:val="009B6768"/>
    <w:rsid w:val="009B799E"/>
    <w:rsid w:val="009C09F9"/>
    <w:rsid w:val="009C25C1"/>
    <w:rsid w:val="009C27E9"/>
    <w:rsid w:val="009C39F9"/>
    <w:rsid w:val="009C4138"/>
    <w:rsid w:val="009C459A"/>
    <w:rsid w:val="009D05EF"/>
    <w:rsid w:val="009D0DE8"/>
    <w:rsid w:val="009D1EF2"/>
    <w:rsid w:val="009D2F67"/>
    <w:rsid w:val="009D3B98"/>
    <w:rsid w:val="009D423E"/>
    <w:rsid w:val="009D4F3C"/>
    <w:rsid w:val="009D4F40"/>
    <w:rsid w:val="009D5714"/>
    <w:rsid w:val="009E3C87"/>
    <w:rsid w:val="009E46E2"/>
    <w:rsid w:val="009E4B0D"/>
    <w:rsid w:val="009E4DB0"/>
    <w:rsid w:val="009E7D17"/>
    <w:rsid w:val="009F05C3"/>
    <w:rsid w:val="009F0CFA"/>
    <w:rsid w:val="009F3242"/>
    <w:rsid w:val="009F3EA5"/>
    <w:rsid w:val="009F5A7B"/>
    <w:rsid w:val="009F638A"/>
    <w:rsid w:val="00A01230"/>
    <w:rsid w:val="00A06DC4"/>
    <w:rsid w:val="00A06F4C"/>
    <w:rsid w:val="00A12F22"/>
    <w:rsid w:val="00A140C4"/>
    <w:rsid w:val="00A160B4"/>
    <w:rsid w:val="00A160EE"/>
    <w:rsid w:val="00A178A2"/>
    <w:rsid w:val="00A21DD3"/>
    <w:rsid w:val="00A23B52"/>
    <w:rsid w:val="00A241FD"/>
    <w:rsid w:val="00A25CE3"/>
    <w:rsid w:val="00A27152"/>
    <w:rsid w:val="00A3196A"/>
    <w:rsid w:val="00A31D70"/>
    <w:rsid w:val="00A33B90"/>
    <w:rsid w:val="00A33EF5"/>
    <w:rsid w:val="00A3617B"/>
    <w:rsid w:val="00A36BE4"/>
    <w:rsid w:val="00A36F8F"/>
    <w:rsid w:val="00A413C4"/>
    <w:rsid w:val="00A4153B"/>
    <w:rsid w:val="00A428D7"/>
    <w:rsid w:val="00A440B8"/>
    <w:rsid w:val="00A44CF3"/>
    <w:rsid w:val="00A45F9E"/>
    <w:rsid w:val="00A47932"/>
    <w:rsid w:val="00A50459"/>
    <w:rsid w:val="00A54292"/>
    <w:rsid w:val="00A54816"/>
    <w:rsid w:val="00A54F47"/>
    <w:rsid w:val="00A554CE"/>
    <w:rsid w:val="00A5593B"/>
    <w:rsid w:val="00A60F03"/>
    <w:rsid w:val="00A61816"/>
    <w:rsid w:val="00A628C2"/>
    <w:rsid w:val="00A701DD"/>
    <w:rsid w:val="00A72113"/>
    <w:rsid w:val="00A73754"/>
    <w:rsid w:val="00A73802"/>
    <w:rsid w:val="00A807C9"/>
    <w:rsid w:val="00A80F69"/>
    <w:rsid w:val="00A819EB"/>
    <w:rsid w:val="00A8318D"/>
    <w:rsid w:val="00A8320F"/>
    <w:rsid w:val="00A8375D"/>
    <w:rsid w:val="00A8445B"/>
    <w:rsid w:val="00A8484E"/>
    <w:rsid w:val="00A8639D"/>
    <w:rsid w:val="00A86628"/>
    <w:rsid w:val="00A87502"/>
    <w:rsid w:val="00A91C45"/>
    <w:rsid w:val="00A9434D"/>
    <w:rsid w:val="00A94F83"/>
    <w:rsid w:val="00A96FAD"/>
    <w:rsid w:val="00A972A4"/>
    <w:rsid w:val="00A97E8E"/>
    <w:rsid w:val="00AA0677"/>
    <w:rsid w:val="00AA1F7F"/>
    <w:rsid w:val="00AA3945"/>
    <w:rsid w:val="00AA6FBB"/>
    <w:rsid w:val="00AB25AB"/>
    <w:rsid w:val="00AB2F33"/>
    <w:rsid w:val="00AB4BED"/>
    <w:rsid w:val="00AB6AC5"/>
    <w:rsid w:val="00AC2363"/>
    <w:rsid w:val="00AC61EC"/>
    <w:rsid w:val="00AC72F0"/>
    <w:rsid w:val="00AC7892"/>
    <w:rsid w:val="00AC791A"/>
    <w:rsid w:val="00AD198A"/>
    <w:rsid w:val="00AD392C"/>
    <w:rsid w:val="00AD5751"/>
    <w:rsid w:val="00AD7126"/>
    <w:rsid w:val="00AE05C4"/>
    <w:rsid w:val="00AE3BF7"/>
    <w:rsid w:val="00AE59F0"/>
    <w:rsid w:val="00AE6C6D"/>
    <w:rsid w:val="00AF0285"/>
    <w:rsid w:val="00B000DB"/>
    <w:rsid w:val="00B06988"/>
    <w:rsid w:val="00B07E35"/>
    <w:rsid w:val="00B1087F"/>
    <w:rsid w:val="00B11633"/>
    <w:rsid w:val="00B136C8"/>
    <w:rsid w:val="00B20EB9"/>
    <w:rsid w:val="00B21A38"/>
    <w:rsid w:val="00B2208A"/>
    <w:rsid w:val="00B25D04"/>
    <w:rsid w:val="00B359F1"/>
    <w:rsid w:val="00B41260"/>
    <w:rsid w:val="00B41A1F"/>
    <w:rsid w:val="00B4316D"/>
    <w:rsid w:val="00B436F2"/>
    <w:rsid w:val="00B442B4"/>
    <w:rsid w:val="00B5290C"/>
    <w:rsid w:val="00B530A0"/>
    <w:rsid w:val="00B579B2"/>
    <w:rsid w:val="00B61A2A"/>
    <w:rsid w:val="00B65329"/>
    <w:rsid w:val="00B6725F"/>
    <w:rsid w:val="00B70335"/>
    <w:rsid w:val="00B72875"/>
    <w:rsid w:val="00B73A1A"/>
    <w:rsid w:val="00B745E9"/>
    <w:rsid w:val="00B77ED0"/>
    <w:rsid w:val="00B81F48"/>
    <w:rsid w:val="00B82D5D"/>
    <w:rsid w:val="00B830DD"/>
    <w:rsid w:val="00B8325F"/>
    <w:rsid w:val="00B85CF8"/>
    <w:rsid w:val="00B9065D"/>
    <w:rsid w:val="00B9232D"/>
    <w:rsid w:val="00B923F1"/>
    <w:rsid w:val="00B93AD1"/>
    <w:rsid w:val="00B93FBE"/>
    <w:rsid w:val="00B94763"/>
    <w:rsid w:val="00BA1F43"/>
    <w:rsid w:val="00BA226D"/>
    <w:rsid w:val="00BA31AA"/>
    <w:rsid w:val="00BA4230"/>
    <w:rsid w:val="00BA4468"/>
    <w:rsid w:val="00BA5201"/>
    <w:rsid w:val="00BB11ED"/>
    <w:rsid w:val="00BB1545"/>
    <w:rsid w:val="00BB1802"/>
    <w:rsid w:val="00BB304A"/>
    <w:rsid w:val="00BB3C09"/>
    <w:rsid w:val="00BB3FC9"/>
    <w:rsid w:val="00BB657B"/>
    <w:rsid w:val="00BB7CCF"/>
    <w:rsid w:val="00BB7E7F"/>
    <w:rsid w:val="00BC12FE"/>
    <w:rsid w:val="00BC1827"/>
    <w:rsid w:val="00BC237F"/>
    <w:rsid w:val="00BC2B14"/>
    <w:rsid w:val="00BC2DA6"/>
    <w:rsid w:val="00BC589A"/>
    <w:rsid w:val="00BD0868"/>
    <w:rsid w:val="00BD710E"/>
    <w:rsid w:val="00BD75AF"/>
    <w:rsid w:val="00BE3E96"/>
    <w:rsid w:val="00BE6932"/>
    <w:rsid w:val="00BF73F0"/>
    <w:rsid w:val="00BF7961"/>
    <w:rsid w:val="00C03748"/>
    <w:rsid w:val="00C04104"/>
    <w:rsid w:val="00C10460"/>
    <w:rsid w:val="00C10AAB"/>
    <w:rsid w:val="00C10F89"/>
    <w:rsid w:val="00C11A9A"/>
    <w:rsid w:val="00C11D3B"/>
    <w:rsid w:val="00C1543B"/>
    <w:rsid w:val="00C20CC5"/>
    <w:rsid w:val="00C212C5"/>
    <w:rsid w:val="00C2134C"/>
    <w:rsid w:val="00C23E09"/>
    <w:rsid w:val="00C32D6D"/>
    <w:rsid w:val="00C33295"/>
    <w:rsid w:val="00C33DD7"/>
    <w:rsid w:val="00C36D69"/>
    <w:rsid w:val="00C406FB"/>
    <w:rsid w:val="00C4100B"/>
    <w:rsid w:val="00C410A5"/>
    <w:rsid w:val="00C45EA3"/>
    <w:rsid w:val="00C46045"/>
    <w:rsid w:val="00C5065A"/>
    <w:rsid w:val="00C509C4"/>
    <w:rsid w:val="00C56180"/>
    <w:rsid w:val="00C61DAC"/>
    <w:rsid w:val="00C620B2"/>
    <w:rsid w:val="00C628C9"/>
    <w:rsid w:val="00C6472A"/>
    <w:rsid w:val="00C64EEA"/>
    <w:rsid w:val="00C6522E"/>
    <w:rsid w:val="00C73AAF"/>
    <w:rsid w:val="00C76E7C"/>
    <w:rsid w:val="00C81613"/>
    <w:rsid w:val="00C83494"/>
    <w:rsid w:val="00C83EA4"/>
    <w:rsid w:val="00C84B7F"/>
    <w:rsid w:val="00C8520A"/>
    <w:rsid w:val="00C9007E"/>
    <w:rsid w:val="00C9098F"/>
    <w:rsid w:val="00C92DB0"/>
    <w:rsid w:val="00C93EAA"/>
    <w:rsid w:val="00C943C1"/>
    <w:rsid w:val="00C94DCD"/>
    <w:rsid w:val="00C95BD4"/>
    <w:rsid w:val="00C97605"/>
    <w:rsid w:val="00C9763D"/>
    <w:rsid w:val="00CA147F"/>
    <w:rsid w:val="00CA4627"/>
    <w:rsid w:val="00CA4B81"/>
    <w:rsid w:val="00CA7770"/>
    <w:rsid w:val="00CB1303"/>
    <w:rsid w:val="00CB3F1D"/>
    <w:rsid w:val="00CB52B2"/>
    <w:rsid w:val="00CB6A03"/>
    <w:rsid w:val="00CB74C6"/>
    <w:rsid w:val="00CC1A0A"/>
    <w:rsid w:val="00CC4171"/>
    <w:rsid w:val="00CC47D6"/>
    <w:rsid w:val="00CC52A0"/>
    <w:rsid w:val="00CC5ABA"/>
    <w:rsid w:val="00CC63CB"/>
    <w:rsid w:val="00CD0663"/>
    <w:rsid w:val="00CD1B13"/>
    <w:rsid w:val="00CD2467"/>
    <w:rsid w:val="00CD4467"/>
    <w:rsid w:val="00CD4DFB"/>
    <w:rsid w:val="00CD4F1D"/>
    <w:rsid w:val="00CD5FE2"/>
    <w:rsid w:val="00CE0A3C"/>
    <w:rsid w:val="00CE0A64"/>
    <w:rsid w:val="00CE1400"/>
    <w:rsid w:val="00CE1AAF"/>
    <w:rsid w:val="00CE2BFA"/>
    <w:rsid w:val="00CF366E"/>
    <w:rsid w:val="00CF60B5"/>
    <w:rsid w:val="00CF72F4"/>
    <w:rsid w:val="00D027AD"/>
    <w:rsid w:val="00D02A8C"/>
    <w:rsid w:val="00D02A93"/>
    <w:rsid w:val="00D02F38"/>
    <w:rsid w:val="00D03827"/>
    <w:rsid w:val="00D05DE8"/>
    <w:rsid w:val="00D073B5"/>
    <w:rsid w:val="00D12B43"/>
    <w:rsid w:val="00D15F46"/>
    <w:rsid w:val="00D16824"/>
    <w:rsid w:val="00D25269"/>
    <w:rsid w:val="00D252CB"/>
    <w:rsid w:val="00D31827"/>
    <w:rsid w:val="00D33FB6"/>
    <w:rsid w:val="00D3500F"/>
    <w:rsid w:val="00D35BD2"/>
    <w:rsid w:val="00D371B3"/>
    <w:rsid w:val="00D420C4"/>
    <w:rsid w:val="00D4653F"/>
    <w:rsid w:val="00D50F88"/>
    <w:rsid w:val="00D52AB6"/>
    <w:rsid w:val="00D5391C"/>
    <w:rsid w:val="00D55136"/>
    <w:rsid w:val="00D55F3B"/>
    <w:rsid w:val="00D57FDC"/>
    <w:rsid w:val="00D60132"/>
    <w:rsid w:val="00D603D1"/>
    <w:rsid w:val="00D62274"/>
    <w:rsid w:val="00D627DA"/>
    <w:rsid w:val="00D6418E"/>
    <w:rsid w:val="00D6646A"/>
    <w:rsid w:val="00D66893"/>
    <w:rsid w:val="00D7166D"/>
    <w:rsid w:val="00D71C35"/>
    <w:rsid w:val="00D75E88"/>
    <w:rsid w:val="00D77A36"/>
    <w:rsid w:val="00D77D17"/>
    <w:rsid w:val="00D80D3B"/>
    <w:rsid w:val="00D82BCB"/>
    <w:rsid w:val="00D82D97"/>
    <w:rsid w:val="00D8339E"/>
    <w:rsid w:val="00D855DF"/>
    <w:rsid w:val="00D91051"/>
    <w:rsid w:val="00D945D9"/>
    <w:rsid w:val="00D956E1"/>
    <w:rsid w:val="00D9625C"/>
    <w:rsid w:val="00DA0394"/>
    <w:rsid w:val="00DA151F"/>
    <w:rsid w:val="00DA1AF1"/>
    <w:rsid w:val="00DA2C9F"/>
    <w:rsid w:val="00DA400C"/>
    <w:rsid w:val="00DA4F5B"/>
    <w:rsid w:val="00DA5823"/>
    <w:rsid w:val="00DB0988"/>
    <w:rsid w:val="00DB0DC2"/>
    <w:rsid w:val="00DB1258"/>
    <w:rsid w:val="00DB15B2"/>
    <w:rsid w:val="00DB2B77"/>
    <w:rsid w:val="00DB38F3"/>
    <w:rsid w:val="00DB602D"/>
    <w:rsid w:val="00DB6CEA"/>
    <w:rsid w:val="00DB6FF6"/>
    <w:rsid w:val="00DC1120"/>
    <w:rsid w:val="00DC53B9"/>
    <w:rsid w:val="00DD1BFC"/>
    <w:rsid w:val="00DD1EAE"/>
    <w:rsid w:val="00DD201E"/>
    <w:rsid w:val="00DD3C56"/>
    <w:rsid w:val="00DD40BD"/>
    <w:rsid w:val="00DD447F"/>
    <w:rsid w:val="00DD6ED6"/>
    <w:rsid w:val="00DE26C6"/>
    <w:rsid w:val="00DE341F"/>
    <w:rsid w:val="00DE4B44"/>
    <w:rsid w:val="00DE6323"/>
    <w:rsid w:val="00DF01A2"/>
    <w:rsid w:val="00DF248C"/>
    <w:rsid w:val="00DF2CCC"/>
    <w:rsid w:val="00DF3BFD"/>
    <w:rsid w:val="00DF4A0E"/>
    <w:rsid w:val="00DF6146"/>
    <w:rsid w:val="00E01B9A"/>
    <w:rsid w:val="00E03633"/>
    <w:rsid w:val="00E104B7"/>
    <w:rsid w:val="00E1127A"/>
    <w:rsid w:val="00E1166C"/>
    <w:rsid w:val="00E12D9B"/>
    <w:rsid w:val="00E16B0B"/>
    <w:rsid w:val="00E229C3"/>
    <w:rsid w:val="00E261A3"/>
    <w:rsid w:val="00E27E25"/>
    <w:rsid w:val="00E304DD"/>
    <w:rsid w:val="00E31082"/>
    <w:rsid w:val="00E31F06"/>
    <w:rsid w:val="00E346DD"/>
    <w:rsid w:val="00E363DC"/>
    <w:rsid w:val="00E37BA9"/>
    <w:rsid w:val="00E37EF1"/>
    <w:rsid w:val="00E4156C"/>
    <w:rsid w:val="00E43545"/>
    <w:rsid w:val="00E43BA3"/>
    <w:rsid w:val="00E448E2"/>
    <w:rsid w:val="00E4678F"/>
    <w:rsid w:val="00E474E8"/>
    <w:rsid w:val="00E521F7"/>
    <w:rsid w:val="00E536CE"/>
    <w:rsid w:val="00E55FC6"/>
    <w:rsid w:val="00E56A64"/>
    <w:rsid w:val="00E61144"/>
    <w:rsid w:val="00E6151E"/>
    <w:rsid w:val="00E62860"/>
    <w:rsid w:val="00E63ECB"/>
    <w:rsid w:val="00E70D5B"/>
    <w:rsid w:val="00E712F4"/>
    <w:rsid w:val="00E71BA6"/>
    <w:rsid w:val="00E7275C"/>
    <w:rsid w:val="00E72C80"/>
    <w:rsid w:val="00E7327D"/>
    <w:rsid w:val="00E762FE"/>
    <w:rsid w:val="00E76895"/>
    <w:rsid w:val="00E77E73"/>
    <w:rsid w:val="00E81EA2"/>
    <w:rsid w:val="00E8289B"/>
    <w:rsid w:val="00E83B4B"/>
    <w:rsid w:val="00E83E02"/>
    <w:rsid w:val="00E8442D"/>
    <w:rsid w:val="00E86983"/>
    <w:rsid w:val="00E87E5C"/>
    <w:rsid w:val="00E91EF3"/>
    <w:rsid w:val="00E92A30"/>
    <w:rsid w:val="00E9507D"/>
    <w:rsid w:val="00E9520C"/>
    <w:rsid w:val="00E95B57"/>
    <w:rsid w:val="00E95BCB"/>
    <w:rsid w:val="00E9684F"/>
    <w:rsid w:val="00E972E7"/>
    <w:rsid w:val="00E9750D"/>
    <w:rsid w:val="00E97541"/>
    <w:rsid w:val="00EA0959"/>
    <w:rsid w:val="00EA0B6A"/>
    <w:rsid w:val="00EA145B"/>
    <w:rsid w:val="00EA2FEC"/>
    <w:rsid w:val="00EA567C"/>
    <w:rsid w:val="00EA64A1"/>
    <w:rsid w:val="00EB18D9"/>
    <w:rsid w:val="00EB2758"/>
    <w:rsid w:val="00EB3998"/>
    <w:rsid w:val="00EB7E99"/>
    <w:rsid w:val="00EC070F"/>
    <w:rsid w:val="00EC227A"/>
    <w:rsid w:val="00EC2C66"/>
    <w:rsid w:val="00EC3933"/>
    <w:rsid w:val="00EC65A3"/>
    <w:rsid w:val="00ED01AE"/>
    <w:rsid w:val="00ED2C5C"/>
    <w:rsid w:val="00ED34A3"/>
    <w:rsid w:val="00ED5A96"/>
    <w:rsid w:val="00ED7C80"/>
    <w:rsid w:val="00EE1193"/>
    <w:rsid w:val="00EE1C34"/>
    <w:rsid w:val="00EE1D22"/>
    <w:rsid w:val="00EE3C80"/>
    <w:rsid w:val="00EE56F3"/>
    <w:rsid w:val="00EF08C5"/>
    <w:rsid w:val="00EF0906"/>
    <w:rsid w:val="00EF5176"/>
    <w:rsid w:val="00EF76C7"/>
    <w:rsid w:val="00F006D1"/>
    <w:rsid w:val="00F019C8"/>
    <w:rsid w:val="00F02A74"/>
    <w:rsid w:val="00F02ABB"/>
    <w:rsid w:val="00F02E93"/>
    <w:rsid w:val="00F0515B"/>
    <w:rsid w:val="00F06641"/>
    <w:rsid w:val="00F06667"/>
    <w:rsid w:val="00F076E0"/>
    <w:rsid w:val="00F07CF8"/>
    <w:rsid w:val="00F10C91"/>
    <w:rsid w:val="00F13517"/>
    <w:rsid w:val="00F1448F"/>
    <w:rsid w:val="00F17569"/>
    <w:rsid w:val="00F21282"/>
    <w:rsid w:val="00F213E9"/>
    <w:rsid w:val="00F23924"/>
    <w:rsid w:val="00F23B64"/>
    <w:rsid w:val="00F310F7"/>
    <w:rsid w:val="00F330B0"/>
    <w:rsid w:val="00F3344A"/>
    <w:rsid w:val="00F33775"/>
    <w:rsid w:val="00F337A5"/>
    <w:rsid w:val="00F338B6"/>
    <w:rsid w:val="00F346D4"/>
    <w:rsid w:val="00F34B84"/>
    <w:rsid w:val="00F36AE4"/>
    <w:rsid w:val="00F40BC4"/>
    <w:rsid w:val="00F40E01"/>
    <w:rsid w:val="00F434C5"/>
    <w:rsid w:val="00F45AC4"/>
    <w:rsid w:val="00F474EC"/>
    <w:rsid w:val="00F51E2F"/>
    <w:rsid w:val="00F5392C"/>
    <w:rsid w:val="00F53C3C"/>
    <w:rsid w:val="00F5574A"/>
    <w:rsid w:val="00F619E4"/>
    <w:rsid w:val="00F62FF1"/>
    <w:rsid w:val="00F631D8"/>
    <w:rsid w:val="00F64CE9"/>
    <w:rsid w:val="00F65A51"/>
    <w:rsid w:val="00F667C5"/>
    <w:rsid w:val="00F70FBD"/>
    <w:rsid w:val="00F74091"/>
    <w:rsid w:val="00F761AB"/>
    <w:rsid w:val="00F76CBF"/>
    <w:rsid w:val="00F80199"/>
    <w:rsid w:val="00F8108F"/>
    <w:rsid w:val="00F84569"/>
    <w:rsid w:val="00F84A7C"/>
    <w:rsid w:val="00F864D5"/>
    <w:rsid w:val="00F90D87"/>
    <w:rsid w:val="00F932DA"/>
    <w:rsid w:val="00F977F5"/>
    <w:rsid w:val="00FA1C5D"/>
    <w:rsid w:val="00FA32B8"/>
    <w:rsid w:val="00FA56D9"/>
    <w:rsid w:val="00FB6E8F"/>
    <w:rsid w:val="00FB7D4A"/>
    <w:rsid w:val="00FC609F"/>
    <w:rsid w:val="00FC79B0"/>
    <w:rsid w:val="00FD1CDF"/>
    <w:rsid w:val="00FD26DB"/>
    <w:rsid w:val="00FD7720"/>
    <w:rsid w:val="00FE0051"/>
    <w:rsid w:val="00FE5EF5"/>
    <w:rsid w:val="00FE5FB2"/>
    <w:rsid w:val="00FE719B"/>
    <w:rsid w:val="00FE7B45"/>
    <w:rsid w:val="00FF0DD8"/>
    <w:rsid w:val="00FF0F70"/>
    <w:rsid w:val="00FF1930"/>
    <w:rsid w:val="00FF2828"/>
    <w:rsid w:val="00FF4624"/>
    <w:rsid w:val="00FF5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4:docId w14:val="320EBEA3"/>
  <w15:docId w15:val="{35B2A285-66EC-4B6E-8130-7B026552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qFormat/>
    <w:rsid w:val="00EC070F"/>
    <w:pPr>
      <w:keepNext/>
      <w:spacing w:after="60"/>
      <w:outlineLvl w:val="0"/>
    </w:pPr>
    <w:rPr>
      <w:rFonts w:cs="Arial"/>
      <w:bCs/>
      <w:color w:val="4C8C2B"/>
      <w:kern w:val="32"/>
      <w:sz w:val="52"/>
      <w:szCs w:val="32"/>
    </w:rPr>
  </w:style>
  <w:style w:type="paragraph" w:styleId="Heading2">
    <w:name w:val="heading 2"/>
    <w:basedOn w:val="Normal"/>
    <w:next w:val="Normal"/>
    <w:qFormat/>
    <w:rsid w:val="0007114C"/>
    <w:pPr>
      <w:keepNext/>
      <w:spacing w:before="240" w:after="60"/>
      <w:outlineLvl w:val="1"/>
    </w:pPr>
    <w:rPr>
      <w:rFonts w:cs="Arial"/>
      <w:b/>
      <w:bCs/>
      <w:iCs/>
      <w:color w:val="4C8C2B"/>
      <w:sz w:val="32"/>
      <w:szCs w:val="28"/>
    </w:rPr>
  </w:style>
  <w:style w:type="paragraph" w:styleId="Heading3">
    <w:name w:val="heading 3"/>
    <w:basedOn w:val="Normal"/>
    <w:next w:val="Normal"/>
    <w:qFormat/>
    <w:rsid w:val="00EC070F"/>
    <w:pPr>
      <w:keepNext/>
      <w:spacing w:before="240" w:after="60"/>
      <w:outlineLvl w:val="2"/>
    </w:pPr>
    <w:rPr>
      <w:rFonts w:cs="Arial"/>
      <w:bCs/>
      <w:color w:val="4C8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1"/>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rsid w:val="007F21E1"/>
    <w:pPr>
      <w:tabs>
        <w:tab w:val="center" w:pos="4153"/>
        <w:tab w:val="right" w:pos="8306"/>
      </w:tabs>
    </w:pPr>
    <w:rPr>
      <w:b/>
      <w:color w:val="00778B"/>
    </w:rPr>
  </w:style>
  <w:style w:type="numbering" w:customStyle="1" w:styleId="Bulletpoint">
    <w:name w:val="Bullet point"/>
    <w:basedOn w:val="NoList"/>
    <w:rsid w:val="00383F13"/>
    <w:pPr>
      <w:numPr>
        <w:numId w:val="1"/>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paragraph" w:styleId="ListParagraph">
    <w:name w:val="List Paragraph"/>
    <w:basedOn w:val="Normal"/>
    <w:uiPriority w:val="34"/>
    <w:qFormat/>
    <w:rsid w:val="00E76895"/>
    <w:pPr>
      <w:ind w:left="720"/>
      <w:contextualSpacing/>
    </w:pPr>
  </w:style>
  <w:style w:type="table" w:styleId="TableGrid">
    <w:name w:val="Table Grid"/>
    <w:basedOn w:val="TableNormal"/>
    <w:rsid w:val="003A5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16195"/>
    <w:rPr>
      <w:color w:val="800080" w:themeColor="followedHyperlink"/>
      <w:u w:val="single"/>
    </w:rPr>
  </w:style>
  <w:style w:type="paragraph" w:styleId="FootnoteText">
    <w:name w:val="footnote text"/>
    <w:basedOn w:val="Normal"/>
    <w:link w:val="FootnoteTextChar"/>
    <w:uiPriority w:val="99"/>
    <w:semiHidden/>
    <w:unhideWhenUsed/>
    <w:rsid w:val="00772F9B"/>
    <w:pPr>
      <w:spacing w:before="0" w:after="0"/>
    </w:pPr>
    <w:rPr>
      <w:sz w:val="20"/>
      <w:szCs w:val="20"/>
    </w:rPr>
  </w:style>
  <w:style w:type="character" w:customStyle="1" w:styleId="FootnoteTextChar">
    <w:name w:val="Footnote Text Char"/>
    <w:basedOn w:val="DefaultParagraphFont"/>
    <w:link w:val="FootnoteText"/>
    <w:uiPriority w:val="99"/>
    <w:semiHidden/>
    <w:rsid w:val="00772F9B"/>
    <w:rPr>
      <w:rFonts w:ascii="Arial" w:hAnsi="Arial"/>
    </w:rPr>
  </w:style>
  <w:style w:type="character" w:styleId="FootnoteReference">
    <w:name w:val="footnote reference"/>
    <w:basedOn w:val="DefaultParagraphFont"/>
    <w:semiHidden/>
    <w:unhideWhenUsed/>
    <w:rsid w:val="00772F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6188">
      <w:bodyDiv w:val="1"/>
      <w:marLeft w:val="0"/>
      <w:marRight w:val="0"/>
      <w:marTop w:val="0"/>
      <w:marBottom w:val="0"/>
      <w:divBdr>
        <w:top w:val="none" w:sz="0" w:space="0" w:color="auto"/>
        <w:left w:val="none" w:sz="0" w:space="0" w:color="auto"/>
        <w:bottom w:val="none" w:sz="0" w:space="0" w:color="auto"/>
        <w:right w:val="none" w:sz="0" w:space="0" w:color="auto"/>
      </w:divBdr>
    </w:div>
    <w:div w:id="1405684804">
      <w:bodyDiv w:val="1"/>
      <w:marLeft w:val="0"/>
      <w:marRight w:val="0"/>
      <w:marTop w:val="0"/>
      <w:marBottom w:val="0"/>
      <w:divBdr>
        <w:top w:val="none" w:sz="0" w:space="0" w:color="auto"/>
        <w:left w:val="none" w:sz="0" w:space="0" w:color="auto"/>
        <w:bottom w:val="none" w:sz="0" w:space="0" w:color="auto"/>
        <w:right w:val="none" w:sz="0" w:space="0" w:color="auto"/>
      </w:divBdr>
    </w:div>
    <w:div w:id="1594705719">
      <w:bodyDiv w:val="1"/>
      <w:marLeft w:val="0"/>
      <w:marRight w:val="0"/>
      <w:marTop w:val="0"/>
      <w:marBottom w:val="0"/>
      <w:divBdr>
        <w:top w:val="none" w:sz="0" w:space="0" w:color="auto"/>
        <w:left w:val="none" w:sz="0" w:space="0" w:color="auto"/>
        <w:bottom w:val="none" w:sz="0" w:space="0" w:color="auto"/>
        <w:right w:val="none" w:sz="0" w:space="0" w:color="auto"/>
      </w:divBdr>
    </w:div>
    <w:div w:id="1649633512">
      <w:bodyDiv w:val="1"/>
      <w:marLeft w:val="0"/>
      <w:marRight w:val="0"/>
      <w:marTop w:val="0"/>
      <w:marBottom w:val="0"/>
      <w:divBdr>
        <w:top w:val="none" w:sz="0" w:space="0" w:color="auto"/>
        <w:left w:val="none" w:sz="0" w:space="0" w:color="auto"/>
        <w:bottom w:val="none" w:sz="0" w:space="0" w:color="auto"/>
        <w:right w:val="none" w:sz="0" w:space="0" w:color="auto"/>
      </w:divBdr>
    </w:div>
    <w:div w:id="175053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https://www.facs.nsw.gov.au/resources/nsw-local-government-housing-kit/chapters/local-government-housing-kit-database" TargetMode="Externa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6.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http://www.housingpathways.nsw.gov.au/How+to+Apply/Expected+Waiting+Times/" TargetMode="External"/><Relationship Id="rId29" Type="http://schemas.openxmlformats.org/officeDocument/2006/relationships/hyperlink" Target="https://public.tableau.com/app/profile/facs.statistics/viz/Social_Housing_Residential_Dwellings/Dashboa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hyperlink" Target="https://communityhousing.org.au/our-impact/data-dashboard/" TargetMode="Externa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chart" Target="charts/chart1.xml"/><Relationship Id="rId28" Type="http://schemas.openxmlformats.org/officeDocument/2006/relationships/hyperlink" Target="https://www.facs.nsw.gov.au/resources/statistics/social-housing-residential-dwellings/facs-quarterly-statistics-social-housing-dwellings" TargetMode="External"/><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yperlink" Target="https://communityhousing.org.au/wp-content/uploads/2022/08/Community-Housing-Snapshot-2022.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hyperlink" Target="https://www.facs.nsw.gov.au/housing/help/applying-assistance/expected-waiting-times" TargetMode="External"/><Relationship Id="rId30" Type="http://schemas.openxmlformats.org/officeDocument/2006/relationships/hyperlink" Target="https://www.facs.nsw.gov.au/resources/statistics/social-housing-delivery2/interactive-dashboard" TargetMode="External"/><Relationship Id="rId35" Type="http://schemas.openxmlformats.org/officeDocument/2006/relationships/fontTable" Target="fontTable.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Fact_sheet_external_FACS.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BIZLINK\DHS\HNSW\DOH\ASH\DIV1\UNITS\CAPMH\TEAM\PMP\CAH%20-%20CentreforAffordableHousing\Statistics\Housing%20Snapshots\2020%20data\Housing%20Snapshots%20-%20Sydney%20District%20Data\Central%20City%20District\2021%20Central%20City%20Tabl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b="1"/>
              <a:t>Compare household</a:t>
            </a:r>
            <a:r>
              <a:rPr lang="en-AU" b="1" baseline="0"/>
              <a:t> type with bedroom number - smaller households - Central City - 2021</a:t>
            </a:r>
            <a:endParaRPr lang="en-AU"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'compare hh type w bedroom'!$A$10</c:f>
              <c:strCache>
                <c:ptCount val="1"/>
                <c:pt idx="0">
                  <c:v>Lone person</c:v>
                </c:pt>
              </c:strCache>
            </c:strRef>
          </c:tx>
          <c:spPr>
            <a:solidFill>
              <a:srgbClr val="7FAC00"/>
            </a:solidFill>
            <a:ln>
              <a:noFill/>
            </a:ln>
            <a:effectLst/>
          </c:spPr>
          <c:invertIfNegative val="0"/>
          <c:cat>
            <c:strRef>
              <c:f>'compare hh type w bedroom'!$B$9:$G$9</c:f>
              <c:strCache>
                <c:ptCount val="6"/>
                <c:pt idx="0">
                  <c:v>Blacktown</c:v>
                </c:pt>
                <c:pt idx="1">
                  <c:v>Cumberland</c:v>
                </c:pt>
                <c:pt idx="2">
                  <c:v>Parramatta</c:v>
                </c:pt>
                <c:pt idx="3">
                  <c:v>The Hills Shire</c:v>
                </c:pt>
                <c:pt idx="4">
                  <c:v>Central City</c:v>
                </c:pt>
                <c:pt idx="5">
                  <c:v>Greater Sydney</c:v>
                </c:pt>
              </c:strCache>
            </c:strRef>
          </c:cat>
          <c:val>
            <c:numRef>
              <c:f>'compare hh type w bedroom'!$B$10:$G$10</c:f>
              <c:numCache>
                <c:formatCode>0.0</c:formatCode>
                <c:ptCount val="6"/>
                <c:pt idx="0">
                  <c:v>15.1</c:v>
                </c:pt>
                <c:pt idx="1">
                  <c:v>18.3</c:v>
                </c:pt>
                <c:pt idx="2">
                  <c:v>21.6</c:v>
                </c:pt>
                <c:pt idx="3">
                  <c:v>11.9</c:v>
                </c:pt>
                <c:pt idx="4">
                  <c:v>17</c:v>
                </c:pt>
                <c:pt idx="5">
                  <c:v>22.2</c:v>
                </c:pt>
              </c:numCache>
            </c:numRef>
          </c:val>
          <c:extLst>
            <c:ext xmlns:c16="http://schemas.microsoft.com/office/drawing/2014/chart" uri="{C3380CC4-5D6E-409C-BE32-E72D297353CC}">
              <c16:uniqueId val="{00000000-14BF-478B-8B83-A6E322FE74F1}"/>
            </c:ext>
          </c:extLst>
        </c:ser>
        <c:ser>
          <c:idx val="1"/>
          <c:order val="1"/>
          <c:tx>
            <c:strRef>
              <c:f>'compare hh type w bedroom'!$A$11</c:f>
              <c:strCache>
                <c:ptCount val="1"/>
                <c:pt idx="0">
                  <c:v>Couple only</c:v>
                </c:pt>
              </c:strCache>
            </c:strRef>
          </c:tx>
          <c:spPr>
            <a:solidFill>
              <a:srgbClr val="CCCC00"/>
            </a:solidFill>
            <a:ln>
              <a:noFill/>
            </a:ln>
            <a:effectLst/>
          </c:spPr>
          <c:invertIfNegative val="0"/>
          <c:cat>
            <c:strRef>
              <c:f>'compare hh type w bedroom'!$B$9:$G$9</c:f>
              <c:strCache>
                <c:ptCount val="6"/>
                <c:pt idx="0">
                  <c:v>Blacktown</c:v>
                </c:pt>
                <c:pt idx="1">
                  <c:v>Cumberland</c:v>
                </c:pt>
                <c:pt idx="2">
                  <c:v>Parramatta</c:v>
                </c:pt>
                <c:pt idx="3">
                  <c:v>The Hills Shire</c:v>
                </c:pt>
                <c:pt idx="4">
                  <c:v>Central City</c:v>
                </c:pt>
                <c:pt idx="5">
                  <c:v>Greater Sydney</c:v>
                </c:pt>
              </c:strCache>
            </c:strRef>
          </c:cat>
          <c:val>
            <c:numRef>
              <c:f>'compare hh type w bedroom'!$B$11:$G$11</c:f>
              <c:numCache>
                <c:formatCode>0.0</c:formatCode>
                <c:ptCount val="6"/>
                <c:pt idx="0">
                  <c:v>18.3</c:v>
                </c:pt>
                <c:pt idx="1">
                  <c:v>18.5</c:v>
                </c:pt>
                <c:pt idx="2">
                  <c:v>23.4</c:v>
                </c:pt>
                <c:pt idx="3">
                  <c:v>23.4</c:v>
                </c:pt>
                <c:pt idx="4">
                  <c:v>20.6</c:v>
                </c:pt>
                <c:pt idx="5">
                  <c:v>23.3</c:v>
                </c:pt>
              </c:numCache>
            </c:numRef>
          </c:val>
          <c:extLst>
            <c:ext xmlns:c16="http://schemas.microsoft.com/office/drawing/2014/chart" uri="{C3380CC4-5D6E-409C-BE32-E72D297353CC}">
              <c16:uniqueId val="{00000001-14BF-478B-8B83-A6E322FE74F1}"/>
            </c:ext>
          </c:extLst>
        </c:ser>
        <c:ser>
          <c:idx val="2"/>
          <c:order val="2"/>
          <c:tx>
            <c:strRef>
              <c:f>'compare hh type w bedroom'!$A$12</c:f>
              <c:strCache>
                <c:ptCount val="1"/>
                <c:pt idx="0">
                  <c:v>Studio</c:v>
                </c:pt>
              </c:strCache>
            </c:strRef>
          </c:tx>
          <c:spPr>
            <a:solidFill>
              <a:srgbClr val="FF00FF"/>
            </a:solidFill>
            <a:ln>
              <a:noFill/>
            </a:ln>
            <a:effectLst/>
          </c:spPr>
          <c:invertIfNegative val="0"/>
          <c:cat>
            <c:strRef>
              <c:f>'compare hh type w bedroom'!$B$9:$G$9</c:f>
              <c:strCache>
                <c:ptCount val="6"/>
                <c:pt idx="0">
                  <c:v>Blacktown</c:v>
                </c:pt>
                <c:pt idx="1">
                  <c:v>Cumberland</c:v>
                </c:pt>
                <c:pt idx="2">
                  <c:v>Parramatta</c:v>
                </c:pt>
                <c:pt idx="3">
                  <c:v>The Hills Shire</c:v>
                </c:pt>
                <c:pt idx="4">
                  <c:v>Central City</c:v>
                </c:pt>
                <c:pt idx="5">
                  <c:v>Greater Sydney</c:v>
                </c:pt>
              </c:strCache>
            </c:strRef>
          </c:cat>
          <c:val>
            <c:numRef>
              <c:f>'compare hh type w bedroom'!$B$12:$G$12</c:f>
              <c:numCache>
                <c:formatCode>0.0</c:formatCode>
                <c:ptCount val="6"/>
                <c:pt idx="0">
                  <c:v>0.3</c:v>
                </c:pt>
                <c:pt idx="1">
                  <c:v>0.5</c:v>
                </c:pt>
                <c:pt idx="2">
                  <c:v>0.7</c:v>
                </c:pt>
                <c:pt idx="3">
                  <c:v>0.1</c:v>
                </c:pt>
                <c:pt idx="4">
                  <c:v>0.4</c:v>
                </c:pt>
                <c:pt idx="5">
                  <c:v>0.9</c:v>
                </c:pt>
              </c:numCache>
            </c:numRef>
          </c:val>
          <c:extLst>
            <c:ext xmlns:c16="http://schemas.microsoft.com/office/drawing/2014/chart" uri="{C3380CC4-5D6E-409C-BE32-E72D297353CC}">
              <c16:uniqueId val="{00000002-14BF-478B-8B83-A6E322FE74F1}"/>
            </c:ext>
          </c:extLst>
        </c:ser>
        <c:ser>
          <c:idx val="3"/>
          <c:order val="3"/>
          <c:tx>
            <c:strRef>
              <c:f>'compare hh type w bedroom'!$A$13</c:f>
              <c:strCache>
                <c:ptCount val="1"/>
                <c:pt idx="0">
                  <c:v>One bed</c:v>
                </c:pt>
              </c:strCache>
            </c:strRef>
          </c:tx>
          <c:spPr>
            <a:solidFill>
              <a:srgbClr val="A20036"/>
            </a:solidFill>
            <a:ln>
              <a:noFill/>
            </a:ln>
            <a:effectLst/>
          </c:spPr>
          <c:invertIfNegative val="0"/>
          <c:cat>
            <c:strRef>
              <c:f>'compare hh type w bedroom'!$B$9:$G$9</c:f>
              <c:strCache>
                <c:ptCount val="6"/>
                <c:pt idx="0">
                  <c:v>Blacktown</c:v>
                </c:pt>
                <c:pt idx="1">
                  <c:v>Cumberland</c:v>
                </c:pt>
                <c:pt idx="2">
                  <c:v>Parramatta</c:v>
                </c:pt>
                <c:pt idx="3">
                  <c:v>The Hills Shire</c:v>
                </c:pt>
                <c:pt idx="4">
                  <c:v>Central City</c:v>
                </c:pt>
                <c:pt idx="5">
                  <c:v>Greater Sydney</c:v>
                </c:pt>
              </c:strCache>
            </c:strRef>
          </c:cat>
          <c:val>
            <c:numRef>
              <c:f>'compare hh type w bedroom'!$B$13:$G$13</c:f>
              <c:numCache>
                <c:formatCode>0.0</c:formatCode>
                <c:ptCount val="6"/>
                <c:pt idx="0">
                  <c:v>2.2000000000000002</c:v>
                </c:pt>
                <c:pt idx="1">
                  <c:v>5.3</c:v>
                </c:pt>
                <c:pt idx="2">
                  <c:v>9.9</c:v>
                </c:pt>
                <c:pt idx="3">
                  <c:v>1.9</c:v>
                </c:pt>
                <c:pt idx="4">
                  <c:v>4.9000000000000004</c:v>
                </c:pt>
                <c:pt idx="5">
                  <c:v>8.1</c:v>
                </c:pt>
              </c:numCache>
            </c:numRef>
          </c:val>
          <c:extLst>
            <c:ext xmlns:c16="http://schemas.microsoft.com/office/drawing/2014/chart" uri="{C3380CC4-5D6E-409C-BE32-E72D297353CC}">
              <c16:uniqueId val="{00000003-14BF-478B-8B83-A6E322FE74F1}"/>
            </c:ext>
          </c:extLst>
        </c:ser>
        <c:dLbls>
          <c:showLegendKey val="0"/>
          <c:showVal val="0"/>
          <c:showCatName val="0"/>
          <c:showSerName val="0"/>
          <c:showPercent val="0"/>
          <c:showBubbleSize val="0"/>
        </c:dLbls>
        <c:gapWidth val="219"/>
        <c:overlap val="-27"/>
        <c:axId val="679515688"/>
        <c:axId val="679524216"/>
      </c:barChart>
      <c:catAx>
        <c:axId val="679515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679524216"/>
        <c:crosses val="autoZero"/>
        <c:auto val="1"/>
        <c:lblAlgn val="ctr"/>
        <c:lblOffset val="100"/>
        <c:noMultiLvlLbl val="0"/>
      </c:catAx>
      <c:valAx>
        <c:axId val="67952421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9515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9738C-85BF-4FA2-B160-56AD79D46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Fact_sheet_external_FACS</Template>
  <TotalTime>488</TotalTime>
  <Pages>15</Pages>
  <Words>3832</Words>
  <Characters>21421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Factsheet template - green</vt:lpstr>
    </vt:vector>
  </TitlesOfParts>
  <Company>Department of Communites &amp; Justice</Company>
  <LinksUpToDate>false</LinksUpToDate>
  <CharactersWithSpaces>25203</CharactersWithSpaces>
  <SharedDoc>false</SharedDoc>
  <HLinks>
    <vt:vector size="6" baseType="variant">
      <vt:variant>
        <vt:i4>2752617</vt:i4>
      </vt:variant>
      <vt:variant>
        <vt:i4>0</vt:i4>
      </vt:variant>
      <vt:variant>
        <vt:i4>0</vt:i4>
      </vt:variant>
      <vt:variant>
        <vt:i4>5</vt:i4>
      </vt:variant>
      <vt:variant>
        <vt:lpwstr>http://intranet.facs.nsw.gov.au/internal_services/ministerial_and_communication_services/writing-guides-and-resources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City District - Whats Happening with Supply</dc:title>
  <dc:creator>Laura Yan Guo</dc:creator>
  <cp:lastModifiedBy>JOSHUA YOUKHANA</cp:lastModifiedBy>
  <cp:revision>52</cp:revision>
  <cp:lastPrinted>1900-12-31T14:00:00Z</cp:lastPrinted>
  <dcterms:created xsi:type="dcterms:W3CDTF">2023-03-07T03:59:00Z</dcterms:created>
  <dcterms:modified xsi:type="dcterms:W3CDTF">2023-09-10T23:15:00Z</dcterms:modified>
</cp:coreProperties>
</file>