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EF58" w14:textId="77777777" w:rsidR="00555F5C" w:rsidRPr="00CE3DDD" w:rsidRDefault="005C073E" w:rsidP="00555F5C">
      <w:pPr>
        <w:rPr>
          <w:color w:val="008000"/>
          <w:sz w:val="32"/>
        </w:rPr>
      </w:pPr>
      <w:r>
        <w:rPr>
          <w:b/>
          <w:color w:val="008000"/>
          <w:sz w:val="32"/>
        </w:rPr>
        <w:t xml:space="preserve">Far West </w:t>
      </w:r>
      <w:r w:rsidR="00CD54F1">
        <w:rPr>
          <w:b/>
          <w:color w:val="008000"/>
          <w:sz w:val="32"/>
        </w:rPr>
        <w:t>Region</w:t>
      </w:r>
      <w:r w:rsidR="00211B89">
        <w:rPr>
          <w:b/>
          <w:color w:val="008000"/>
          <w:sz w:val="32"/>
        </w:rPr>
        <w:t xml:space="preserve"> </w:t>
      </w:r>
      <w:r w:rsidR="00555F5C" w:rsidRPr="00CE3DDD">
        <w:rPr>
          <w:b/>
          <w:color w:val="008000"/>
          <w:sz w:val="32"/>
        </w:rPr>
        <w:t>– What’s the Housing Demand?</w:t>
      </w:r>
    </w:p>
    <w:p w14:paraId="1473CEE0" w14:textId="77777777" w:rsidR="009A5386" w:rsidRDefault="009A5386" w:rsidP="009A5386">
      <w:pPr>
        <w:rPr>
          <w:sz w:val="22"/>
          <w:szCs w:val="22"/>
        </w:rPr>
      </w:pPr>
      <w:r>
        <w:rPr>
          <w:sz w:val="22"/>
          <w:szCs w:val="22"/>
        </w:rPr>
        <w:t xml:space="preserve">This Housing Snapshot looks at aspects of housing demand in </w:t>
      </w:r>
      <w:r w:rsidR="00334354">
        <w:rPr>
          <w:sz w:val="22"/>
          <w:szCs w:val="22"/>
        </w:rPr>
        <w:t>the Far West region of NSW</w:t>
      </w:r>
      <w:r>
        <w:rPr>
          <w:sz w:val="22"/>
          <w:szCs w:val="22"/>
        </w:rPr>
        <w:t>, particularly from the 2016 Census to the 2021 Census – including population, age profile, household type, household size, income (change in low, moderate and high income households and low income re</w:t>
      </w:r>
      <w:r w:rsidR="00334354">
        <w:rPr>
          <w:sz w:val="22"/>
          <w:szCs w:val="22"/>
        </w:rPr>
        <w:t xml:space="preserve">ntal households), homelessness </w:t>
      </w:r>
      <w:r>
        <w:rPr>
          <w:sz w:val="22"/>
          <w:szCs w:val="22"/>
        </w:rPr>
        <w:t xml:space="preserve">and people with disability. </w:t>
      </w:r>
    </w:p>
    <w:p w14:paraId="39D41AED" w14:textId="77777777" w:rsidR="00981E25" w:rsidRPr="00612D7E" w:rsidRDefault="00981E25" w:rsidP="00981E25">
      <w:pPr>
        <w:rPr>
          <w:sz w:val="22"/>
          <w:szCs w:val="22"/>
        </w:rPr>
      </w:pPr>
      <w:r w:rsidRPr="009A5386">
        <w:rPr>
          <w:sz w:val="22"/>
          <w:szCs w:val="22"/>
        </w:rPr>
        <w:t xml:space="preserve">There have been challenges across Australian and in this region since the 2016 Census, including the pandemic - which have impacted the community and the demand for housing. </w:t>
      </w:r>
      <w:r w:rsidR="00334354">
        <w:rPr>
          <w:sz w:val="22"/>
          <w:szCs w:val="22"/>
        </w:rPr>
        <w:t>Population decline, changes to the mining workforce and farming practices as well as ongoing poverty and disadvantage make meeting the housing needs of the residents of this region difficult</w:t>
      </w:r>
      <w:r w:rsidRPr="009A5386">
        <w:rPr>
          <w:sz w:val="22"/>
          <w:szCs w:val="22"/>
        </w:rPr>
        <w:t>.</w:t>
      </w:r>
    </w:p>
    <w:p w14:paraId="1919CEBE" w14:textId="77777777" w:rsidR="00C50AD9" w:rsidRDefault="00C50AD9" w:rsidP="00555F5C">
      <w:pPr>
        <w:rPr>
          <w:b/>
          <w:color w:val="008000"/>
        </w:rPr>
      </w:pPr>
    </w:p>
    <w:p w14:paraId="0E1CFDEF" w14:textId="77777777" w:rsidR="00981E25" w:rsidRPr="00C50AD9" w:rsidRDefault="00981E25" w:rsidP="00555F5C">
      <w:pPr>
        <w:rPr>
          <w:b/>
          <w:color w:val="008000"/>
        </w:rPr>
      </w:pPr>
    </w:p>
    <w:p w14:paraId="09466210" w14:textId="77777777" w:rsidR="00555F5C" w:rsidRPr="00293101" w:rsidRDefault="00555F5C" w:rsidP="00555F5C">
      <w:pPr>
        <w:rPr>
          <w:b/>
          <w:color w:val="008000"/>
          <w:sz w:val="32"/>
        </w:rPr>
      </w:pPr>
      <w:r w:rsidRPr="00293101">
        <w:rPr>
          <w:b/>
          <w:color w:val="008000"/>
          <w:sz w:val="32"/>
        </w:rPr>
        <w:t>Population Forecast</w:t>
      </w:r>
    </w:p>
    <w:p w14:paraId="6C2CC80A" w14:textId="77777777" w:rsidR="00981E25" w:rsidRDefault="00981E25" w:rsidP="00981E25">
      <w:pPr>
        <w:pStyle w:val="ListParagraph"/>
        <w:numPr>
          <w:ilvl w:val="0"/>
          <w:numId w:val="14"/>
        </w:numPr>
        <w:rPr>
          <w:sz w:val="22"/>
          <w:szCs w:val="22"/>
        </w:rPr>
      </w:pPr>
      <w:r>
        <w:rPr>
          <w:sz w:val="22"/>
          <w:szCs w:val="22"/>
        </w:rPr>
        <w:t>Changes in population will impact on the demand for housing.</w:t>
      </w:r>
    </w:p>
    <w:p w14:paraId="0D032BBC" w14:textId="77777777" w:rsidR="00981E25" w:rsidRDefault="00981E25" w:rsidP="00981E25">
      <w:pPr>
        <w:pStyle w:val="ListParagraph"/>
        <w:numPr>
          <w:ilvl w:val="0"/>
          <w:numId w:val="14"/>
        </w:numPr>
        <w:rPr>
          <w:sz w:val="22"/>
          <w:szCs w:val="22"/>
        </w:rPr>
      </w:pPr>
      <w:r w:rsidRPr="0035336A">
        <w:rPr>
          <w:sz w:val="22"/>
          <w:szCs w:val="22"/>
        </w:rPr>
        <w:t xml:space="preserve">Between 2016 and 2021, the population of the </w:t>
      </w:r>
      <w:r w:rsidR="00FA1BEC">
        <w:rPr>
          <w:sz w:val="22"/>
          <w:szCs w:val="22"/>
        </w:rPr>
        <w:t>Far West</w:t>
      </w:r>
      <w:r w:rsidR="00D632D3">
        <w:rPr>
          <w:sz w:val="22"/>
          <w:szCs w:val="22"/>
        </w:rPr>
        <w:t xml:space="preserve"> region</w:t>
      </w:r>
      <w:r w:rsidR="00FA1BEC">
        <w:rPr>
          <w:sz w:val="22"/>
          <w:szCs w:val="22"/>
        </w:rPr>
        <w:t xml:space="preserve"> declined </w:t>
      </w:r>
      <w:r w:rsidRPr="0035336A">
        <w:rPr>
          <w:sz w:val="22"/>
          <w:szCs w:val="22"/>
        </w:rPr>
        <w:t xml:space="preserve">by </w:t>
      </w:r>
      <w:r w:rsidR="00FA1BEC">
        <w:rPr>
          <w:sz w:val="22"/>
          <w:szCs w:val="22"/>
        </w:rPr>
        <w:t>-3.</w:t>
      </w:r>
      <w:r w:rsidR="00B954CB">
        <w:rPr>
          <w:sz w:val="22"/>
          <w:szCs w:val="22"/>
        </w:rPr>
        <w:t>7</w:t>
      </w:r>
      <w:r>
        <w:rPr>
          <w:sz w:val="22"/>
          <w:szCs w:val="22"/>
        </w:rPr>
        <w:t>%</w:t>
      </w:r>
      <w:r w:rsidRPr="0035336A">
        <w:rPr>
          <w:sz w:val="22"/>
          <w:szCs w:val="22"/>
        </w:rPr>
        <w:t xml:space="preserve"> or </w:t>
      </w:r>
      <w:r w:rsidR="00B954CB">
        <w:rPr>
          <w:sz w:val="22"/>
          <w:szCs w:val="22"/>
        </w:rPr>
        <w:t>-1,638</w:t>
      </w:r>
      <w:r w:rsidRPr="0035336A">
        <w:rPr>
          <w:sz w:val="22"/>
          <w:szCs w:val="22"/>
        </w:rPr>
        <w:t xml:space="preserve">, from </w:t>
      </w:r>
      <w:r w:rsidR="00FA1BEC">
        <w:rPr>
          <w:sz w:val="22"/>
          <w:szCs w:val="22"/>
        </w:rPr>
        <w:t>44,</w:t>
      </w:r>
      <w:r w:rsidR="00B954CB">
        <w:rPr>
          <w:sz w:val="22"/>
          <w:szCs w:val="22"/>
        </w:rPr>
        <w:t>636</w:t>
      </w:r>
      <w:r w:rsidRPr="0035336A">
        <w:rPr>
          <w:sz w:val="22"/>
          <w:szCs w:val="22"/>
        </w:rPr>
        <w:t xml:space="preserve"> to </w:t>
      </w:r>
      <w:r w:rsidR="00FA1BEC">
        <w:rPr>
          <w:sz w:val="22"/>
          <w:szCs w:val="22"/>
        </w:rPr>
        <w:t>4</w:t>
      </w:r>
      <w:r w:rsidR="00B954CB">
        <w:rPr>
          <w:sz w:val="22"/>
          <w:szCs w:val="22"/>
        </w:rPr>
        <w:t>2,998 (using ABS Census population data)</w:t>
      </w:r>
      <w:r w:rsidRPr="0035336A">
        <w:rPr>
          <w:sz w:val="22"/>
          <w:szCs w:val="22"/>
        </w:rPr>
        <w:t>.</w:t>
      </w:r>
      <w:r>
        <w:rPr>
          <w:sz w:val="22"/>
          <w:szCs w:val="22"/>
        </w:rPr>
        <w:t xml:space="preserve">  </w:t>
      </w:r>
    </w:p>
    <w:p w14:paraId="4DB187C3" w14:textId="77777777" w:rsidR="00981E25" w:rsidRPr="0035336A" w:rsidRDefault="00D632D3" w:rsidP="00981E25">
      <w:pPr>
        <w:pStyle w:val="ListParagraph"/>
        <w:numPr>
          <w:ilvl w:val="0"/>
          <w:numId w:val="14"/>
        </w:numPr>
        <w:rPr>
          <w:sz w:val="22"/>
          <w:szCs w:val="22"/>
        </w:rPr>
      </w:pPr>
      <w:r>
        <w:rPr>
          <w:sz w:val="22"/>
          <w:szCs w:val="22"/>
        </w:rPr>
        <w:t xml:space="preserve">Every LGA within the Far West region experienced population decline, except for Wentworth, which increased by </w:t>
      </w:r>
      <w:r w:rsidR="00B954CB">
        <w:rPr>
          <w:sz w:val="22"/>
          <w:szCs w:val="22"/>
        </w:rPr>
        <w:t>9.6</w:t>
      </w:r>
      <w:r>
        <w:rPr>
          <w:sz w:val="22"/>
          <w:szCs w:val="22"/>
        </w:rPr>
        <w:t>%.  Declines in the remaining LGAs in the region ranged from -0.8</w:t>
      </w:r>
      <w:r w:rsidR="00B954CB">
        <w:rPr>
          <w:sz w:val="22"/>
          <w:szCs w:val="22"/>
        </w:rPr>
        <w:t>7</w:t>
      </w:r>
      <w:r>
        <w:rPr>
          <w:sz w:val="22"/>
          <w:szCs w:val="22"/>
        </w:rPr>
        <w:t xml:space="preserve"> in </w:t>
      </w:r>
      <w:r w:rsidR="00B954CB">
        <w:rPr>
          <w:sz w:val="22"/>
          <w:szCs w:val="22"/>
        </w:rPr>
        <w:t>Broken Hill to -17</w:t>
      </w:r>
      <w:r>
        <w:rPr>
          <w:sz w:val="22"/>
          <w:szCs w:val="22"/>
        </w:rPr>
        <w:t xml:space="preserve">.6% in </w:t>
      </w:r>
      <w:r w:rsidR="00B954CB">
        <w:rPr>
          <w:sz w:val="22"/>
          <w:szCs w:val="22"/>
        </w:rPr>
        <w:t>Brewarrina</w:t>
      </w:r>
      <w:r>
        <w:rPr>
          <w:sz w:val="22"/>
          <w:szCs w:val="22"/>
        </w:rPr>
        <w:t>.</w:t>
      </w:r>
    </w:p>
    <w:p w14:paraId="2EB23415" w14:textId="77777777" w:rsidR="00981E25" w:rsidRPr="007255A8" w:rsidRDefault="00644521" w:rsidP="007255A8">
      <w:pPr>
        <w:pStyle w:val="ListParagraph"/>
        <w:numPr>
          <w:ilvl w:val="0"/>
          <w:numId w:val="14"/>
        </w:numPr>
        <w:rPr>
          <w:sz w:val="22"/>
          <w:szCs w:val="22"/>
        </w:rPr>
      </w:pPr>
      <w:r>
        <w:rPr>
          <w:sz w:val="22"/>
          <w:szCs w:val="22"/>
        </w:rPr>
        <w:t>Broken Hill</w:t>
      </w:r>
      <w:r w:rsidR="00981E25">
        <w:rPr>
          <w:sz w:val="22"/>
          <w:szCs w:val="22"/>
        </w:rPr>
        <w:t xml:space="preserve"> has the largest population of the </w:t>
      </w:r>
      <w:r>
        <w:rPr>
          <w:sz w:val="22"/>
          <w:szCs w:val="22"/>
        </w:rPr>
        <w:t>Far West</w:t>
      </w:r>
      <w:r w:rsidR="00981E25">
        <w:rPr>
          <w:sz w:val="22"/>
          <w:szCs w:val="22"/>
        </w:rPr>
        <w:t xml:space="preserve"> LGAs with </w:t>
      </w:r>
      <w:r>
        <w:rPr>
          <w:sz w:val="22"/>
          <w:szCs w:val="22"/>
        </w:rPr>
        <w:t>1</w:t>
      </w:r>
      <w:r w:rsidR="00B954CB">
        <w:rPr>
          <w:sz w:val="22"/>
          <w:szCs w:val="22"/>
        </w:rPr>
        <w:t>7,588</w:t>
      </w:r>
      <w:r w:rsidR="00981E25">
        <w:rPr>
          <w:sz w:val="22"/>
          <w:szCs w:val="22"/>
        </w:rPr>
        <w:t xml:space="preserve"> (comprising </w:t>
      </w:r>
      <w:r w:rsidR="00B954CB">
        <w:rPr>
          <w:sz w:val="22"/>
          <w:szCs w:val="22"/>
        </w:rPr>
        <w:t>40.9</w:t>
      </w:r>
      <w:r w:rsidR="00981E25">
        <w:rPr>
          <w:sz w:val="22"/>
          <w:szCs w:val="22"/>
        </w:rPr>
        <w:t xml:space="preserve">% of the region’s population), while </w:t>
      </w:r>
      <w:r>
        <w:rPr>
          <w:sz w:val="22"/>
          <w:szCs w:val="22"/>
        </w:rPr>
        <w:t>Unincorporated NSW</w:t>
      </w:r>
      <w:r w:rsidR="00981E25">
        <w:rPr>
          <w:sz w:val="22"/>
          <w:szCs w:val="22"/>
        </w:rPr>
        <w:t xml:space="preserve"> has </w:t>
      </w:r>
      <w:r w:rsidR="00981E25" w:rsidRPr="007255A8">
        <w:rPr>
          <w:sz w:val="22"/>
          <w:szCs w:val="22"/>
        </w:rPr>
        <w:t xml:space="preserve">the smallest population with </w:t>
      </w:r>
      <w:r w:rsidR="00B954CB" w:rsidRPr="007255A8">
        <w:rPr>
          <w:sz w:val="22"/>
          <w:szCs w:val="22"/>
        </w:rPr>
        <w:t>1,016</w:t>
      </w:r>
      <w:r w:rsidR="00981E25" w:rsidRPr="007255A8">
        <w:rPr>
          <w:sz w:val="22"/>
          <w:szCs w:val="22"/>
        </w:rPr>
        <w:t xml:space="preserve"> (comprising </w:t>
      </w:r>
      <w:r w:rsidRPr="007255A8">
        <w:rPr>
          <w:sz w:val="22"/>
          <w:szCs w:val="22"/>
        </w:rPr>
        <w:t>2.</w:t>
      </w:r>
      <w:r w:rsidR="00B954CB" w:rsidRPr="007255A8">
        <w:rPr>
          <w:sz w:val="22"/>
          <w:szCs w:val="22"/>
        </w:rPr>
        <w:t>4</w:t>
      </w:r>
      <w:r w:rsidR="00981E25" w:rsidRPr="007255A8">
        <w:rPr>
          <w:sz w:val="22"/>
          <w:szCs w:val="22"/>
        </w:rPr>
        <w:t>% of the region’s population).</w:t>
      </w:r>
    </w:p>
    <w:p w14:paraId="0584E738" w14:textId="77777777" w:rsidR="005529EC" w:rsidRPr="005529EC" w:rsidRDefault="00EA4648" w:rsidP="005529EC">
      <w:pPr>
        <w:pStyle w:val="ListParagraph"/>
        <w:numPr>
          <w:ilvl w:val="0"/>
          <w:numId w:val="14"/>
        </w:numPr>
        <w:rPr>
          <w:sz w:val="22"/>
          <w:szCs w:val="22"/>
        </w:rPr>
      </w:pPr>
      <w:r>
        <w:rPr>
          <w:sz w:val="22"/>
        </w:rPr>
        <w:t xml:space="preserve">The Department of </w:t>
      </w:r>
      <w:r w:rsidR="00981E25" w:rsidRPr="00600200">
        <w:rPr>
          <w:sz w:val="22"/>
        </w:rPr>
        <w:t>Planning</w:t>
      </w:r>
      <w:r>
        <w:rPr>
          <w:sz w:val="22"/>
        </w:rPr>
        <w:t xml:space="preserve"> and Environment</w:t>
      </w:r>
      <w:r w:rsidR="00981E25" w:rsidRPr="00600200">
        <w:rPr>
          <w:sz w:val="22"/>
        </w:rPr>
        <w:t xml:space="preserve"> have prepared </w:t>
      </w:r>
      <w:r w:rsidR="00981E25">
        <w:rPr>
          <w:sz w:val="22"/>
        </w:rPr>
        <w:t>population projections for</w:t>
      </w:r>
      <w:r w:rsidR="00981E25" w:rsidRPr="00600200">
        <w:rPr>
          <w:sz w:val="22"/>
        </w:rPr>
        <w:t xml:space="preserve"> every LGA in the region</w:t>
      </w:r>
      <w:r w:rsidR="005529EC">
        <w:rPr>
          <w:sz w:val="22"/>
        </w:rPr>
        <w:t xml:space="preserve"> to 2041</w:t>
      </w:r>
      <w:r w:rsidR="00981E25" w:rsidRPr="00600200">
        <w:rPr>
          <w:sz w:val="22"/>
        </w:rPr>
        <w:t xml:space="preserve">.  Their projections </w:t>
      </w:r>
      <w:r w:rsidR="00981E25">
        <w:rPr>
          <w:sz w:val="22"/>
        </w:rPr>
        <w:t xml:space="preserve">forecast </w:t>
      </w:r>
      <w:r w:rsidR="00E80866">
        <w:rPr>
          <w:sz w:val="22"/>
        </w:rPr>
        <w:t>population decline</w:t>
      </w:r>
      <w:r w:rsidR="00981E25">
        <w:rPr>
          <w:sz w:val="22"/>
        </w:rPr>
        <w:t xml:space="preserve"> for</w:t>
      </w:r>
      <w:r w:rsidR="00E80866">
        <w:rPr>
          <w:sz w:val="22"/>
        </w:rPr>
        <w:t xml:space="preserve"> every LGA in the Far West -</w:t>
      </w:r>
      <w:r w:rsidR="00981E25">
        <w:rPr>
          <w:sz w:val="22"/>
        </w:rPr>
        <w:t xml:space="preserve"> </w:t>
      </w:r>
      <w:r w:rsidR="005529EC">
        <w:rPr>
          <w:sz w:val="22"/>
        </w:rPr>
        <w:t>Balranald</w:t>
      </w:r>
      <w:r w:rsidR="00981E25">
        <w:rPr>
          <w:sz w:val="22"/>
        </w:rPr>
        <w:t xml:space="preserve"> (</w:t>
      </w:r>
      <w:r w:rsidR="005529EC">
        <w:rPr>
          <w:sz w:val="22"/>
        </w:rPr>
        <w:t>-</w:t>
      </w:r>
      <w:r w:rsidR="00981E25">
        <w:rPr>
          <w:sz w:val="22"/>
        </w:rPr>
        <w:t>1.</w:t>
      </w:r>
      <w:r w:rsidR="005529EC">
        <w:rPr>
          <w:sz w:val="22"/>
        </w:rPr>
        <w:t>1</w:t>
      </w:r>
      <w:r w:rsidR="00981E25">
        <w:rPr>
          <w:sz w:val="22"/>
        </w:rPr>
        <w:t xml:space="preserve">% per annum), </w:t>
      </w:r>
      <w:r w:rsidR="005529EC">
        <w:rPr>
          <w:sz w:val="22"/>
        </w:rPr>
        <w:t>Bourke</w:t>
      </w:r>
      <w:r w:rsidR="00981E25">
        <w:rPr>
          <w:sz w:val="22"/>
        </w:rPr>
        <w:t xml:space="preserve"> (</w:t>
      </w:r>
      <w:r w:rsidR="005529EC">
        <w:rPr>
          <w:sz w:val="22"/>
        </w:rPr>
        <w:t>-2.49</w:t>
      </w:r>
      <w:r w:rsidR="00981E25">
        <w:rPr>
          <w:sz w:val="22"/>
        </w:rPr>
        <w:t xml:space="preserve">%), </w:t>
      </w:r>
      <w:r w:rsidR="005529EC">
        <w:rPr>
          <w:sz w:val="22"/>
        </w:rPr>
        <w:t>Brewarrina</w:t>
      </w:r>
      <w:r w:rsidR="00981E25">
        <w:rPr>
          <w:sz w:val="22"/>
        </w:rPr>
        <w:t xml:space="preserve"> (</w:t>
      </w:r>
      <w:r w:rsidR="005529EC">
        <w:rPr>
          <w:sz w:val="22"/>
        </w:rPr>
        <w:t>-2.43</w:t>
      </w:r>
      <w:r w:rsidR="00981E25">
        <w:rPr>
          <w:sz w:val="22"/>
        </w:rPr>
        <w:t xml:space="preserve">%), </w:t>
      </w:r>
      <w:r w:rsidR="005529EC">
        <w:rPr>
          <w:sz w:val="22"/>
        </w:rPr>
        <w:t>Broken Hill</w:t>
      </w:r>
      <w:r w:rsidR="00981E25">
        <w:rPr>
          <w:sz w:val="22"/>
        </w:rPr>
        <w:t xml:space="preserve"> (</w:t>
      </w:r>
      <w:r w:rsidR="005529EC">
        <w:rPr>
          <w:sz w:val="22"/>
        </w:rPr>
        <w:t>-2.32</w:t>
      </w:r>
      <w:r w:rsidR="00981E25">
        <w:rPr>
          <w:sz w:val="22"/>
        </w:rPr>
        <w:t xml:space="preserve">%), </w:t>
      </w:r>
      <w:r w:rsidR="005529EC">
        <w:rPr>
          <w:sz w:val="22"/>
        </w:rPr>
        <w:t>Central Darling</w:t>
      </w:r>
      <w:r w:rsidR="00981E25">
        <w:rPr>
          <w:sz w:val="22"/>
        </w:rPr>
        <w:t xml:space="preserve"> (</w:t>
      </w:r>
      <w:r w:rsidR="005529EC">
        <w:rPr>
          <w:sz w:val="22"/>
        </w:rPr>
        <w:t>-1.6</w:t>
      </w:r>
      <w:r w:rsidR="00981E25">
        <w:rPr>
          <w:sz w:val="22"/>
        </w:rPr>
        <w:t xml:space="preserve">%), </w:t>
      </w:r>
      <w:r w:rsidR="005529EC">
        <w:rPr>
          <w:sz w:val="22"/>
        </w:rPr>
        <w:t>Cobar</w:t>
      </w:r>
      <w:r w:rsidR="00981E25">
        <w:rPr>
          <w:sz w:val="22"/>
        </w:rPr>
        <w:t xml:space="preserve"> (</w:t>
      </w:r>
      <w:r w:rsidR="005529EC">
        <w:rPr>
          <w:sz w:val="22"/>
        </w:rPr>
        <w:t>-2.6</w:t>
      </w:r>
      <w:r w:rsidR="00981E25">
        <w:rPr>
          <w:sz w:val="22"/>
        </w:rPr>
        <w:t xml:space="preserve">%), </w:t>
      </w:r>
      <w:r w:rsidR="005529EC">
        <w:rPr>
          <w:sz w:val="22"/>
        </w:rPr>
        <w:t>Walgett (-2.14</w:t>
      </w:r>
      <w:r w:rsidR="00981E25">
        <w:rPr>
          <w:sz w:val="22"/>
        </w:rPr>
        <w:t>%)</w:t>
      </w:r>
      <w:r w:rsidR="005529EC">
        <w:rPr>
          <w:sz w:val="22"/>
        </w:rPr>
        <w:t xml:space="preserve"> and</w:t>
      </w:r>
      <w:r w:rsidR="00981E25">
        <w:rPr>
          <w:sz w:val="22"/>
        </w:rPr>
        <w:t xml:space="preserve"> </w:t>
      </w:r>
      <w:r w:rsidR="005529EC">
        <w:rPr>
          <w:sz w:val="22"/>
        </w:rPr>
        <w:t>Wentworth</w:t>
      </w:r>
      <w:r w:rsidR="00981E25">
        <w:rPr>
          <w:sz w:val="22"/>
        </w:rPr>
        <w:t xml:space="preserve"> (</w:t>
      </w:r>
      <w:r w:rsidR="005529EC">
        <w:rPr>
          <w:sz w:val="22"/>
        </w:rPr>
        <w:t>-0.17%).</w:t>
      </w:r>
    </w:p>
    <w:p w14:paraId="56A6FDCC" w14:textId="77777777" w:rsidR="00981E25" w:rsidRPr="005529EC" w:rsidRDefault="00981E25" w:rsidP="005529EC">
      <w:pPr>
        <w:pStyle w:val="ListParagraph"/>
        <w:numPr>
          <w:ilvl w:val="0"/>
          <w:numId w:val="14"/>
        </w:numPr>
        <w:rPr>
          <w:sz w:val="22"/>
          <w:szCs w:val="22"/>
        </w:rPr>
      </w:pPr>
      <w:r w:rsidRPr="005529EC">
        <w:rPr>
          <w:sz w:val="22"/>
          <w:szCs w:val="22"/>
        </w:rPr>
        <w:t xml:space="preserve">The table below shows the population change for each </w:t>
      </w:r>
      <w:r w:rsidR="007F64B5">
        <w:rPr>
          <w:sz w:val="22"/>
          <w:szCs w:val="22"/>
        </w:rPr>
        <w:t xml:space="preserve">Far West </w:t>
      </w:r>
      <w:r w:rsidRPr="005529EC">
        <w:rPr>
          <w:sz w:val="22"/>
          <w:szCs w:val="22"/>
        </w:rPr>
        <w:t>LGA and the region as a whole from 2016 to 2021.</w:t>
      </w:r>
    </w:p>
    <w:p w14:paraId="5F636CA0" w14:textId="77777777" w:rsidR="00981E25" w:rsidRDefault="00981E25" w:rsidP="00981E25">
      <w:pPr>
        <w:spacing w:before="0" w:after="0"/>
        <w:rPr>
          <w:sz w:val="22"/>
          <w:szCs w:val="22"/>
        </w:rPr>
      </w:pPr>
    </w:p>
    <w:p w14:paraId="044B1716" w14:textId="77777777" w:rsidR="00981E25" w:rsidRDefault="00981E25" w:rsidP="00981E25">
      <w:pPr>
        <w:spacing w:before="0" w:after="0"/>
        <w:rPr>
          <w:sz w:val="22"/>
          <w:szCs w:val="22"/>
        </w:rPr>
      </w:pPr>
    </w:p>
    <w:p w14:paraId="4FC15C1E" w14:textId="77777777" w:rsidR="00981E25" w:rsidRDefault="00981E25" w:rsidP="00981E25">
      <w:pPr>
        <w:spacing w:before="0" w:after="0"/>
        <w:rPr>
          <w:sz w:val="22"/>
          <w:szCs w:val="22"/>
        </w:rPr>
      </w:pPr>
    </w:p>
    <w:p w14:paraId="47F7BC6C" w14:textId="77777777" w:rsidR="00981E25" w:rsidRDefault="00981E25" w:rsidP="00981E25">
      <w:pPr>
        <w:spacing w:before="0" w:after="0"/>
        <w:rPr>
          <w:sz w:val="22"/>
          <w:szCs w:val="22"/>
        </w:rPr>
      </w:pPr>
    </w:p>
    <w:p w14:paraId="060446B1" w14:textId="77777777" w:rsidR="00981E25" w:rsidRDefault="00981E25" w:rsidP="00981E25">
      <w:pPr>
        <w:spacing w:before="0" w:after="0"/>
        <w:rPr>
          <w:sz w:val="22"/>
          <w:szCs w:val="22"/>
        </w:rPr>
      </w:pPr>
    </w:p>
    <w:p w14:paraId="6D18A467" w14:textId="77777777" w:rsidR="00981E25" w:rsidRDefault="00B954CB" w:rsidP="00981E25">
      <w:pPr>
        <w:spacing w:before="0" w:after="0"/>
        <w:rPr>
          <w:sz w:val="22"/>
          <w:szCs w:val="22"/>
        </w:rPr>
      </w:pPr>
      <w:r w:rsidRPr="00B954CB">
        <w:rPr>
          <w:noProof/>
        </w:rPr>
        <w:lastRenderedPageBreak/>
        <w:drawing>
          <wp:inline distT="0" distB="0" distL="0" distR="0" wp14:anchorId="73F53089" wp14:editId="2053E086">
            <wp:extent cx="4838700" cy="2486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2486025"/>
                    </a:xfrm>
                    <a:prstGeom prst="rect">
                      <a:avLst/>
                    </a:prstGeom>
                    <a:noFill/>
                    <a:ln>
                      <a:noFill/>
                    </a:ln>
                  </pic:spPr>
                </pic:pic>
              </a:graphicData>
            </a:graphic>
          </wp:inline>
        </w:drawing>
      </w:r>
    </w:p>
    <w:p w14:paraId="6567F4C8" w14:textId="77777777" w:rsidR="00981E25" w:rsidRDefault="00981E25" w:rsidP="00981E25">
      <w:pPr>
        <w:spacing w:before="0" w:after="0"/>
        <w:rPr>
          <w:sz w:val="22"/>
          <w:szCs w:val="22"/>
        </w:rPr>
      </w:pPr>
    </w:p>
    <w:p w14:paraId="6026961D" w14:textId="77777777" w:rsidR="00981E25" w:rsidRDefault="00981E25" w:rsidP="00981E25">
      <w:pPr>
        <w:spacing w:before="0" w:after="0"/>
        <w:rPr>
          <w:sz w:val="22"/>
          <w:szCs w:val="22"/>
        </w:rPr>
      </w:pPr>
    </w:p>
    <w:p w14:paraId="4359C13C" w14:textId="77777777" w:rsidR="00B61809" w:rsidRDefault="00C50AD9" w:rsidP="00981E25">
      <w:pPr>
        <w:spacing w:before="0" w:after="0"/>
        <w:rPr>
          <w:sz w:val="22"/>
          <w:szCs w:val="22"/>
        </w:rPr>
      </w:pPr>
      <w:r>
        <w:rPr>
          <w:sz w:val="22"/>
          <w:szCs w:val="22"/>
        </w:rPr>
        <w:t xml:space="preserve">  </w:t>
      </w:r>
    </w:p>
    <w:p w14:paraId="6556E772" w14:textId="77777777" w:rsidR="00555F5C" w:rsidRPr="00254189" w:rsidRDefault="00555F5C" w:rsidP="00B61809">
      <w:pPr>
        <w:spacing w:before="0" w:after="0"/>
        <w:ind w:left="360"/>
        <w:rPr>
          <w:b/>
          <w:i/>
          <w:color w:val="008000"/>
          <w:sz w:val="20"/>
          <w:szCs w:val="20"/>
        </w:rPr>
      </w:pPr>
    </w:p>
    <w:p w14:paraId="51F9F9A6" w14:textId="77777777" w:rsidR="00555F5C" w:rsidRDefault="00555F5C" w:rsidP="00555F5C">
      <w:pPr>
        <w:rPr>
          <w:b/>
          <w:color w:val="008000"/>
          <w:sz w:val="32"/>
        </w:rPr>
      </w:pPr>
      <w:r w:rsidRPr="000D66D0">
        <w:rPr>
          <w:b/>
          <w:color w:val="008000"/>
          <w:sz w:val="32"/>
        </w:rPr>
        <w:t>Age</w:t>
      </w:r>
    </w:p>
    <w:p w14:paraId="7DEB2B18" w14:textId="77777777" w:rsidR="007633B4" w:rsidRPr="00BB2A74" w:rsidRDefault="007633B4" w:rsidP="007633B4">
      <w:pPr>
        <w:numPr>
          <w:ilvl w:val="0"/>
          <w:numId w:val="19"/>
        </w:numPr>
        <w:spacing w:before="0" w:after="0"/>
        <w:rPr>
          <w:sz w:val="22"/>
          <w:szCs w:val="22"/>
        </w:rPr>
      </w:pPr>
      <w:r w:rsidRPr="00BB2A74">
        <w:rPr>
          <w:sz w:val="22"/>
          <w:szCs w:val="22"/>
        </w:rPr>
        <w:t>The age profile of the region and particularly each LGA will impact on housing need and demand, including number of bedrooms, affordability, location</w:t>
      </w:r>
      <w:r w:rsidR="004C37F5">
        <w:rPr>
          <w:sz w:val="22"/>
          <w:szCs w:val="22"/>
        </w:rPr>
        <w:t xml:space="preserve">, </w:t>
      </w:r>
      <w:r w:rsidRPr="00BB2A74">
        <w:rPr>
          <w:sz w:val="22"/>
          <w:szCs w:val="22"/>
        </w:rPr>
        <w:t>dwelling type</w:t>
      </w:r>
      <w:r w:rsidR="004C37F5">
        <w:rPr>
          <w:sz w:val="22"/>
          <w:szCs w:val="22"/>
        </w:rPr>
        <w:t xml:space="preserve"> as well as demand for aged care</w:t>
      </w:r>
      <w:r w:rsidRPr="00BB2A74">
        <w:rPr>
          <w:sz w:val="22"/>
          <w:szCs w:val="22"/>
        </w:rPr>
        <w:t>.</w:t>
      </w:r>
    </w:p>
    <w:p w14:paraId="41E13719" w14:textId="77777777" w:rsidR="007633B4" w:rsidRPr="006B057F" w:rsidRDefault="007633B4" w:rsidP="007633B4">
      <w:pPr>
        <w:numPr>
          <w:ilvl w:val="0"/>
          <w:numId w:val="19"/>
        </w:numPr>
        <w:spacing w:before="0" w:after="0"/>
        <w:rPr>
          <w:sz w:val="22"/>
          <w:szCs w:val="22"/>
        </w:rPr>
      </w:pPr>
      <w:r w:rsidRPr="00175B16">
        <w:rPr>
          <w:sz w:val="22"/>
          <w:szCs w:val="22"/>
        </w:rPr>
        <w:t xml:space="preserve">The median age of the population of the </w:t>
      </w:r>
      <w:r w:rsidR="00521663">
        <w:rPr>
          <w:sz w:val="22"/>
          <w:szCs w:val="22"/>
        </w:rPr>
        <w:t>Far West</w:t>
      </w:r>
      <w:r>
        <w:rPr>
          <w:sz w:val="22"/>
          <w:szCs w:val="22"/>
        </w:rPr>
        <w:t xml:space="preserve"> </w:t>
      </w:r>
      <w:r w:rsidRPr="00175B16">
        <w:rPr>
          <w:sz w:val="22"/>
          <w:szCs w:val="22"/>
        </w:rPr>
        <w:t xml:space="preserve">LGAs </w:t>
      </w:r>
      <w:r>
        <w:rPr>
          <w:sz w:val="22"/>
          <w:szCs w:val="22"/>
        </w:rPr>
        <w:t xml:space="preserve">at the 2021 Census </w:t>
      </w:r>
      <w:r w:rsidRPr="00175B16">
        <w:rPr>
          <w:sz w:val="22"/>
          <w:szCs w:val="22"/>
        </w:rPr>
        <w:t>ranges between</w:t>
      </w:r>
      <w:r>
        <w:rPr>
          <w:sz w:val="22"/>
          <w:szCs w:val="22"/>
        </w:rPr>
        <w:t xml:space="preserve"> 36</w:t>
      </w:r>
      <w:r w:rsidRPr="00175B16">
        <w:rPr>
          <w:sz w:val="22"/>
          <w:szCs w:val="22"/>
        </w:rPr>
        <w:t xml:space="preserve"> years (</w:t>
      </w:r>
      <w:r w:rsidR="004F6C8D">
        <w:rPr>
          <w:sz w:val="22"/>
          <w:szCs w:val="22"/>
        </w:rPr>
        <w:t>Brewarrina</w:t>
      </w:r>
      <w:r w:rsidRPr="00175B16">
        <w:rPr>
          <w:sz w:val="22"/>
          <w:szCs w:val="22"/>
        </w:rPr>
        <w:t xml:space="preserve">) and </w:t>
      </w:r>
      <w:r w:rsidR="004F6C8D">
        <w:rPr>
          <w:sz w:val="22"/>
          <w:szCs w:val="22"/>
        </w:rPr>
        <w:t>45</w:t>
      </w:r>
      <w:r w:rsidRPr="00175B16">
        <w:rPr>
          <w:sz w:val="22"/>
          <w:szCs w:val="22"/>
        </w:rPr>
        <w:t xml:space="preserve"> (</w:t>
      </w:r>
      <w:r w:rsidR="004F6C8D">
        <w:rPr>
          <w:sz w:val="22"/>
          <w:szCs w:val="22"/>
        </w:rPr>
        <w:t>Unincorporated NSW</w:t>
      </w:r>
      <w:r w:rsidRPr="00175B16">
        <w:rPr>
          <w:sz w:val="22"/>
          <w:szCs w:val="22"/>
        </w:rPr>
        <w:t xml:space="preserve">).  </w:t>
      </w:r>
      <w:r w:rsidR="004F6C8D">
        <w:rPr>
          <w:sz w:val="22"/>
          <w:szCs w:val="22"/>
        </w:rPr>
        <w:t>Bourke and Cobar</w:t>
      </w:r>
      <w:r>
        <w:rPr>
          <w:sz w:val="22"/>
          <w:szCs w:val="22"/>
        </w:rPr>
        <w:t xml:space="preserve"> (37)</w:t>
      </w:r>
      <w:r w:rsidR="004F6C8D">
        <w:rPr>
          <w:sz w:val="22"/>
          <w:szCs w:val="22"/>
        </w:rPr>
        <w:t>,</w:t>
      </w:r>
      <w:r>
        <w:rPr>
          <w:sz w:val="22"/>
          <w:szCs w:val="22"/>
        </w:rPr>
        <w:t xml:space="preserve"> like </w:t>
      </w:r>
      <w:r w:rsidR="004F6C8D">
        <w:rPr>
          <w:sz w:val="22"/>
          <w:szCs w:val="22"/>
        </w:rPr>
        <w:t xml:space="preserve">Brewarrina, </w:t>
      </w:r>
      <w:r>
        <w:rPr>
          <w:sz w:val="22"/>
          <w:szCs w:val="22"/>
        </w:rPr>
        <w:t xml:space="preserve">have a younger median age.  </w:t>
      </w:r>
      <w:r w:rsidR="004F6C8D">
        <w:rPr>
          <w:sz w:val="22"/>
          <w:szCs w:val="22"/>
        </w:rPr>
        <w:t xml:space="preserve">None of the LGAs in the Far West has a particularly old median age – for example in the neighbouring Central West and Orana region, the highest median age is 52 in </w:t>
      </w:r>
      <w:proofErr w:type="spellStart"/>
      <w:r w:rsidR="004F6C8D">
        <w:rPr>
          <w:sz w:val="22"/>
          <w:szCs w:val="22"/>
        </w:rPr>
        <w:t>Weddin</w:t>
      </w:r>
      <w:proofErr w:type="spellEnd"/>
      <w:r w:rsidR="004F6C8D">
        <w:rPr>
          <w:sz w:val="22"/>
          <w:szCs w:val="22"/>
        </w:rPr>
        <w:t xml:space="preserve"> and in New England North West, Tenterfield has a median age of 55.</w:t>
      </w:r>
      <w:r>
        <w:rPr>
          <w:sz w:val="22"/>
          <w:szCs w:val="22"/>
        </w:rPr>
        <w:t xml:space="preserve">  This compares to </w:t>
      </w:r>
      <w:r w:rsidRPr="006B057F">
        <w:rPr>
          <w:sz w:val="22"/>
          <w:szCs w:val="22"/>
        </w:rPr>
        <w:t xml:space="preserve">the median age for the Rest of NSW (excluding Sydney) of 43 years.  </w:t>
      </w:r>
    </w:p>
    <w:p w14:paraId="780B8BD3" w14:textId="77777777" w:rsidR="007633B4" w:rsidRDefault="007633B4" w:rsidP="007633B4">
      <w:pPr>
        <w:numPr>
          <w:ilvl w:val="0"/>
          <w:numId w:val="19"/>
        </w:numPr>
        <w:spacing w:before="0" w:after="0"/>
        <w:rPr>
          <w:sz w:val="22"/>
          <w:szCs w:val="22"/>
        </w:rPr>
      </w:pPr>
      <w:r>
        <w:rPr>
          <w:sz w:val="22"/>
          <w:szCs w:val="22"/>
        </w:rPr>
        <w:t>Generally, most LGAs in the region have higher proportions of 0-4</w:t>
      </w:r>
      <w:r w:rsidR="00F42480">
        <w:rPr>
          <w:sz w:val="22"/>
          <w:szCs w:val="22"/>
        </w:rPr>
        <w:t>,</w:t>
      </w:r>
      <w:r>
        <w:rPr>
          <w:sz w:val="22"/>
          <w:szCs w:val="22"/>
        </w:rPr>
        <w:t xml:space="preserve"> 5-14, </w:t>
      </w:r>
      <w:r w:rsidR="00F42480">
        <w:rPr>
          <w:sz w:val="22"/>
          <w:szCs w:val="22"/>
        </w:rPr>
        <w:t xml:space="preserve">25-34 and 55-64 year olds and </w:t>
      </w:r>
      <w:r>
        <w:rPr>
          <w:sz w:val="22"/>
          <w:szCs w:val="22"/>
        </w:rPr>
        <w:t>lower proportions of 15-19, 20-24, 35-44</w:t>
      </w:r>
      <w:r w:rsidR="00F42480">
        <w:rPr>
          <w:sz w:val="22"/>
          <w:szCs w:val="22"/>
        </w:rPr>
        <w:t xml:space="preserve">, 45-54, 75-84 and 85+ </w:t>
      </w:r>
      <w:r>
        <w:rPr>
          <w:sz w:val="22"/>
          <w:szCs w:val="22"/>
        </w:rPr>
        <w:t>year olds than the average for the Rest of NSW.</w:t>
      </w:r>
    </w:p>
    <w:p w14:paraId="6E00245F" w14:textId="77777777" w:rsidR="007633B4" w:rsidRPr="00E21567" w:rsidRDefault="00F42480" w:rsidP="00E21567">
      <w:pPr>
        <w:numPr>
          <w:ilvl w:val="0"/>
          <w:numId w:val="19"/>
        </w:numPr>
        <w:spacing w:before="0" w:after="0"/>
        <w:rPr>
          <w:sz w:val="22"/>
          <w:szCs w:val="22"/>
        </w:rPr>
      </w:pPr>
      <w:r w:rsidRPr="00E21567">
        <w:rPr>
          <w:sz w:val="22"/>
          <w:szCs w:val="22"/>
        </w:rPr>
        <w:t>As the largest centre</w:t>
      </w:r>
      <w:r w:rsidR="00E21567" w:rsidRPr="00E21567">
        <w:rPr>
          <w:sz w:val="22"/>
          <w:szCs w:val="22"/>
        </w:rPr>
        <w:t xml:space="preserve"> servicing the region</w:t>
      </w:r>
      <w:r w:rsidRPr="00E21567">
        <w:rPr>
          <w:sz w:val="22"/>
          <w:szCs w:val="22"/>
        </w:rPr>
        <w:t>, Broken Hill differs from this profile – with lower proportions</w:t>
      </w:r>
      <w:r w:rsidR="00E21567" w:rsidRPr="00E21567">
        <w:rPr>
          <w:sz w:val="22"/>
          <w:szCs w:val="22"/>
        </w:rPr>
        <w:t xml:space="preserve"> of age cohorts under 25 years and aged 35-54 and higher proportions of older residents</w:t>
      </w:r>
      <w:r w:rsidR="00E21567">
        <w:rPr>
          <w:sz w:val="22"/>
          <w:szCs w:val="22"/>
        </w:rPr>
        <w:t xml:space="preserve"> </w:t>
      </w:r>
      <w:r w:rsidR="007633B4" w:rsidRPr="00E21567">
        <w:rPr>
          <w:sz w:val="22"/>
          <w:szCs w:val="22"/>
        </w:rPr>
        <w:t>than the Rest of NSW average.</w:t>
      </w:r>
    </w:p>
    <w:p w14:paraId="16804122" w14:textId="77777777" w:rsidR="007633B4" w:rsidRDefault="007633B4" w:rsidP="007633B4">
      <w:pPr>
        <w:numPr>
          <w:ilvl w:val="0"/>
          <w:numId w:val="19"/>
        </w:numPr>
        <w:spacing w:before="0" w:after="0"/>
        <w:rPr>
          <w:sz w:val="22"/>
          <w:szCs w:val="22"/>
        </w:rPr>
      </w:pPr>
      <w:r w:rsidRPr="00175B16">
        <w:rPr>
          <w:sz w:val="22"/>
          <w:szCs w:val="22"/>
        </w:rPr>
        <w:t>The graph</w:t>
      </w:r>
      <w:r>
        <w:rPr>
          <w:sz w:val="22"/>
          <w:szCs w:val="22"/>
        </w:rPr>
        <w:t xml:space="preserve"> </w:t>
      </w:r>
      <w:r w:rsidRPr="00175B16">
        <w:rPr>
          <w:sz w:val="22"/>
          <w:szCs w:val="22"/>
        </w:rPr>
        <w:t xml:space="preserve">below show the proportion of the population in each key age cohort in </w:t>
      </w:r>
      <w:r>
        <w:rPr>
          <w:sz w:val="22"/>
          <w:szCs w:val="22"/>
        </w:rPr>
        <w:t xml:space="preserve">the </w:t>
      </w:r>
      <w:r w:rsidR="00E21567">
        <w:rPr>
          <w:sz w:val="22"/>
          <w:szCs w:val="22"/>
        </w:rPr>
        <w:t>Far West</w:t>
      </w:r>
      <w:r>
        <w:rPr>
          <w:sz w:val="22"/>
          <w:szCs w:val="22"/>
        </w:rPr>
        <w:t xml:space="preserve"> LGAs</w:t>
      </w:r>
      <w:r w:rsidR="00E21567">
        <w:rPr>
          <w:sz w:val="22"/>
          <w:szCs w:val="22"/>
        </w:rPr>
        <w:t>, the region and the Rest of NSW</w:t>
      </w:r>
      <w:r>
        <w:rPr>
          <w:sz w:val="22"/>
          <w:szCs w:val="22"/>
        </w:rPr>
        <w:t>.</w:t>
      </w:r>
    </w:p>
    <w:p w14:paraId="514F6920" w14:textId="77777777" w:rsidR="00C00F0E" w:rsidRDefault="00C00F0E" w:rsidP="007633B4">
      <w:pPr>
        <w:spacing w:before="0" w:after="0"/>
        <w:rPr>
          <w:sz w:val="22"/>
          <w:szCs w:val="22"/>
        </w:rPr>
      </w:pPr>
    </w:p>
    <w:p w14:paraId="6E80DE2B" w14:textId="77777777" w:rsidR="007633B4" w:rsidRDefault="007633B4" w:rsidP="007633B4">
      <w:pPr>
        <w:spacing w:before="0" w:after="0"/>
        <w:rPr>
          <w:sz w:val="22"/>
          <w:szCs w:val="22"/>
        </w:rPr>
      </w:pPr>
    </w:p>
    <w:p w14:paraId="60D806E3" w14:textId="77777777" w:rsidR="007633B4" w:rsidRDefault="007633B4" w:rsidP="007633B4">
      <w:pPr>
        <w:spacing w:before="0" w:after="0"/>
        <w:rPr>
          <w:sz w:val="22"/>
          <w:szCs w:val="22"/>
        </w:rPr>
      </w:pPr>
    </w:p>
    <w:p w14:paraId="5A8D28A0" w14:textId="77777777" w:rsidR="007633B4" w:rsidRDefault="007633B4" w:rsidP="007633B4">
      <w:pPr>
        <w:spacing w:before="0" w:after="0"/>
        <w:rPr>
          <w:sz w:val="22"/>
          <w:szCs w:val="22"/>
        </w:rPr>
      </w:pPr>
    </w:p>
    <w:p w14:paraId="745C6D1F" w14:textId="77777777" w:rsidR="007633B4" w:rsidRDefault="00341FE0" w:rsidP="007633B4">
      <w:pPr>
        <w:spacing w:before="0" w:after="0"/>
        <w:rPr>
          <w:sz w:val="22"/>
          <w:szCs w:val="22"/>
        </w:rPr>
      </w:pPr>
      <w:r>
        <w:rPr>
          <w:noProof/>
          <w:sz w:val="22"/>
          <w:szCs w:val="22"/>
        </w:rPr>
        <w:lastRenderedPageBreak/>
        <w:drawing>
          <wp:inline distT="0" distB="0" distL="0" distR="0" wp14:anchorId="4CD925C2" wp14:editId="418A5C57">
            <wp:extent cx="6147435" cy="3672439"/>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60" cy="3679682"/>
                    </a:xfrm>
                    <a:prstGeom prst="rect">
                      <a:avLst/>
                    </a:prstGeom>
                    <a:noFill/>
                  </pic:spPr>
                </pic:pic>
              </a:graphicData>
            </a:graphic>
          </wp:inline>
        </w:drawing>
      </w:r>
    </w:p>
    <w:p w14:paraId="18D326CA" w14:textId="77777777" w:rsidR="007633B4" w:rsidRDefault="007633B4" w:rsidP="007633B4">
      <w:pPr>
        <w:spacing w:before="0" w:after="0"/>
        <w:rPr>
          <w:sz w:val="22"/>
          <w:szCs w:val="22"/>
        </w:rPr>
      </w:pPr>
    </w:p>
    <w:p w14:paraId="7783D5D7" w14:textId="77777777" w:rsidR="00111285" w:rsidRPr="00111285" w:rsidRDefault="00111285" w:rsidP="00111285">
      <w:pPr>
        <w:pStyle w:val="ListParagraph"/>
        <w:numPr>
          <w:ilvl w:val="0"/>
          <w:numId w:val="26"/>
        </w:numPr>
        <w:spacing w:before="0" w:after="0"/>
        <w:rPr>
          <w:sz w:val="22"/>
          <w:szCs w:val="22"/>
        </w:rPr>
      </w:pPr>
      <w:r w:rsidRPr="00111285">
        <w:rPr>
          <w:sz w:val="22"/>
          <w:szCs w:val="22"/>
        </w:rPr>
        <w:t>The table below gives more detail of the breakdown of age cohorts by LGA, by region and for the Rest of NSW.</w:t>
      </w:r>
    </w:p>
    <w:p w14:paraId="17AF9DBB" w14:textId="77777777" w:rsidR="007633B4" w:rsidRDefault="007633B4" w:rsidP="007633B4">
      <w:pPr>
        <w:spacing w:before="0" w:after="0"/>
        <w:rPr>
          <w:sz w:val="22"/>
          <w:szCs w:val="22"/>
        </w:rPr>
      </w:pPr>
    </w:p>
    <w:p w14:paraId="4742D5E4" w14:textId="77777777" w:rsidR="00341FE0" w:rsidRDefault="00111285" w:rsidP="007633B4">
      <w:pPr>
        <w:spacing w:before="0" w:after="0"/>
        <w:rPr>
          <w:sz w:val="22"/>
          <w:szCs w:val="22"/>
        </w:rPr>
      </w:pPr>
      <w:r w:rsidRPr="00111285">
        <w:rPr>
          <w:noProof/>
        </w:rPr>
        <w:drawing>
          <wp:inline distT="0" distB="0" distL="0" distR="0" wp14:anchorId="74055FC7" wp14:editId="0D383DE5">
            <wp:extent cx="5856587" cy="2381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3603" cy="2384103"/>
                    </a:xfrm>
                    <a:prstGeom prst="rect">
                      <a:avLst/>
                    </a:prstGeom>
                    <a:noFill/>
                    <a:ln>
                      <a:noFill/>
                    </a:ln>
                  </pic:spPr>
                </pic:pic>
              </a:graphicData>
            </a:graphic>
          </wp:inline>
        </w:drawing>
      </w:r>
    </w:p>
    <w:p w14:paraId="6A146630" w14:textId="77777777" w:rsidR="00341FE0" w:rsidRDefault="00341FE0" w:rsidP="007633B4">
      <w:pPr>
        <w:spacing w:before="0" w:after="0"/>
        <w:rPr>
          <w:sz w:val="22"/>
          <w:szCs w:val="22"/>
        </w:rPr>
      </w:pPr>
    </w:p>
    <w:p w14:paraId="2BA141E4" w14:textId="77777777" w:rsidR="00EF2A03" w:rsidRDefault="00EF2A03" w:rsidP="00EF2A03">
      <w:pPr>
        <w:numPr>
          <w:ilvl w:val="0"/>
          <w:numId w:val="19"/>
        </w:numPr>
        <w:spacing w:before="0" w:after="0"/>
        <w:rPr>
          <w:sz w:val="22"/>
          <w:szCs w:val="22"/>
        </w:rPr>
      </w:pPr>
      <w:r>
        <w:rPr>
          <w:sz w:val="22"/>
          <w:szCs w:val="22"/>
        </w:rPr>
        <w:t>The Department of</w:t>
      </w:r>
      <w:r w:rsidRPr="00175B16">
        <w:rPr>
          <w:sz w:val="22"/>
          <w:szCs w:val="22"/>
        </w:rPr>
        <w:t xml:space="preserve"> </w:t>
      </w:r>
      <w:r>
        <w:rPr>
          <w:sz w:val="22"/>
          <w:szCs w:val="22"/>
        </w:rPr>
        <w:t xml:space="preserve">Planning and Environment </w:t>
      </w:r>
      <w:r w:rsidRPr="00175B16">
        <w:rPr>
          <w:sz w:val="22"/>
          <w:szCs w:val="22"/>
        </w:rPr>
        <w:t>forecast increase</w:t>
      </w:r>
      <w:r>
        <w:rPr>
          <w:sz w:val="22"/>
          <w:szCs w:val="22"/>
        </w:rPr>
        <w:t>s</w:t>
      </w:r>
      <w:r w:rsidRPr="00175B16">
        <w:rPr>
          <w:sz w:val="22"/>
          <w:szCs w:val="22"/>
        </w:rPr>
        <w:t xml:space="preserve"> in </w:t>
      </w:r>
      <w:r w:rsidR="002B5094">
        <w:rPr>
          <w:sz w:val="22"/>
          <w:szCs w:val="22"/>
        </w:rPr>
        <w:t>older age groups</w:t>
      </w:r>
      <w:r w:rsidRPr="00175B16">
        <w:rPr>
          <w:sz w:val="22"/>
          <w:szCs w:val="22"/>
        </w:rPr>
        <w:t xml:space="preserve"> to 20</w:t>
      </w:r>
      <w:r>
        <w:rPr>
          <w:sz w:val="22"/>
          <w:szCs w:val="22"/>
        </w:rPr>
        <w:t xml:space="preserve">41 in every </w:t>
      </w:r>
      <w:r w:rsidR="002B5094">
        <w:rPr>
          <w:sz w:val="22"/>
          <w:szCs w:val="22"/>
        </w:rPr>
        <w:t>Far West LGA.</w:t>
      </w:r>
    </w:p>
    <w:p w14:paraId="6469845E" w14:textId="77777777" w:rsidR="00EF2A03" w:rsidRPr="00CB5250" w:rsidRDefault="00EF2A03" w:rsidP="00EF2A03">
      <w:pPr>
        <w:numPr>
          <w:ilvl w:val="0"/>
          <w:numId w:val="19"/>
        </w:numPr>
        <w:spacing w:before="0" w:after="0"/>
        <w:rPr>
          <w:sz w:val="22"/>
          <w:szCs w:val="22"/>
        </w:rPr>
      </w:pPr>
      <w:r w:rsidRPr="00CB5250">
        <w:rPr>
          <w:sz w:val="22"/>
          <w:szCs w:val="22"/>
        </w:rPr>
        <w:t xml:space="preserve">The Department also projects an increase in younger age groups in </w:t>
      </w:r>
      <w:r w:rsidR="002B5094">
        <w:rPr>
          <w:sz w:val="22"/>
          <w:szCs w:val="22"/>
        </w:rPr>
        <w:t>Wentworth; no change in younger age groups in Balr</w:t>
      </w:r>
      <w:r w:rsidR="007C32B1">
        <w:rPr>
          <w:sz w:val="22"/>
          <w:szCs w:val="22"/>
        </w:rPr>
        <w:t>anald, Bourke, Central Darling and Unincorporated NSW; and a decrease in younger age groups in Brewarrina, Broken Hill, Cobar and Walgett</w:t>
      </w:r>
      <w:r w:rsidRPr="00CB5250">
        <w:rPr>
          <w:sz w:val="22"/>
          <w:szCs w:val="22"/>
        </w:rPr>
        <w:t xml:space="preserve">. </w:t>
      </w:r>
    </w:p>
    <w:p w14:paraId="3F08015C" w14:textId="77777777" w:rsidR="00EF2A03" w:rsidRDefault="00EF2A03" w:rsidP="00EF2A03">
      <w:pPr>
        <w:numPr>
          <w:ilvl w:val="0"/>
          <w:numId w:val="19"/>
        </w:numPr>
        <w:spacing w:before="0" w:after="0"/>
        <w:rPr>
          <w:sz w:val="22"/>
          <w:szCs w:val="22"/>
        </w:rPr>
      </w:pPr>
      <w:r w:rsidRPr="00175B16">
        <w:rPr>
          <w:sz w:val="22"/>
          <w:szCs w:val="22"/>
        </w:rPr>
        <w:lastRenderedPageBreak/>
        <w:t>The diversity of age groups requires a range of different housing to meet the needs of the community thr</w:t>
      </w:r>
      <w:r w:rsidR="00971A81">
        <w:rPr>
          <w:sz w:val="22"/>
          <w:szCs w:val="22"/>
        </w:rPr>
        <w:t xml:space="preserve">oughout the housing life cycle, including </w:t>
      </w:r>
      <w:r w:rsidRPr="00175B16">
        <w:rPr>
          <w:sz w:val="22"/>
          <w:szCs w:val="22"/>
        </w:rPr>
        <w:t>housing to suit older residents</w:t>
      </w:r>
      <w:r w:rsidR="00971A81">
        <w:rPr>
          <w:sz w:val="22"/>
          <w:szCs w:val="22"/>
        </w:rPr>
        <w:t xml:space="preserve">, especially </w:t>
      </w:r>
      <w:r>
        <w:rPr>
          <w:sz w:val="22"/>
          <w:szCs w:val="22"/>
        </w:rPr>
        <w:t>as the number in older age groups grows</w:t>
      </w:r>
      <w:r w:rsidRPr="00175B16">
        <w:rPr>
          <w:sz w:val="22"/>
          <w:szCs w:val="22"/>
        </w:rPr>
        <w:t>.</w:t>
      </w:r>
    </w:p>
    <w:p w14:paraId="3128FFE3" w14:textId="77777777" w:rsidR="00971A81" w:rsidRDefault="00971A81" w:rsidP="00971A81">
      <w:pPr>
        <w:numPr>
          <w:ilvl w:val="0"/>
          <w:numId w:val="19"/>
        </w:numPr>
        <w:spacing w:before="0" w:after="0"/>
        <w:rPr>
          <w:sz w:val="22"/>
          <w:szCs w:val="22"/>
        </w:rPr>
      </w:pPr>
      <w:r>
        <w:rPr>
          <w:sz w:val="22"/>
          <w:szCs w:val="22"/>
        </w:rPr>
        <w:t>A 2019 study “My Home My Place – Housing Needs of Older People Living in a Rural Community” by Horizon Housing found that (p21):</w:t>
      </w:r>
    </w:p>
    <w:p w14:paraId="0CED7CA9" w14:textId="77777777" w:rsidR="00971A81" w:rsidRPr="005121A3" w:rsidRDefault="00971A81" w:rsidP="00971A81">
      <w:pPr>
        <w:numPr>
          <w:ilvl w:val="1"/>
          <w:numId w:val="19"/>
        </w:numPr>
        <w:spacing w:before="0" w:after="0"/>
        <w:rPr>
          <w:sz w:val="22"/>
          <w:szCs w:val="22"/>
        </w:rPr>
      </w:pPr>
      <w:r w:rsidRPr="005121A3">
        <w:rPr>
          <w:sz w:val="22"/>
          <w:szCs w:val="22"/>
        </w:rPr>
        <w:t xml:space="preserve">“Older people prefer to stay in their own homes for as long as possible </w:t>
      </w:r>
    </w:p>
    <w:p w14:paraId="0DD42708" w14:textId="77777777" w:rsidR="00971A81" w:rsidRPr="005121A3" w:rsidRDefault="00971A81" w:rsidP="00971A81">
      <w:pPr>
        <w:numPr>
          <w:ilvl w:val="1"/>
          <w:numId w:val="19"/>
        </w:numPr>
        <w:spacing w:before="0" w:after="0"/>
        <w:rPr>
          <w:sz w:val="22"/>
          <w:szCs w:val="22"/>
        </w:rPr>
      </w:pPr>
      <w:r w:rsidRPr="005121A3">
        <w:rPr>
          <w:sz w:val="22"/>
          <w:szCs w:val="22"/>
        </w:rPr>
        <w:t xml:space="preserve">Older people want comfortable and secure housing connected to family, friends and their local community </w:t>
      </w:r>
    </w:p>
    <w:p w14:paraId="1EEA03E6" w14:textId="77777777" w:rsidR="00971A81" w:rsidRPr="005121A3" w:rsidRDefault="00971A81" w:rsidP="00971A81">
      <w:pPr>
        <w:numPr>
          <w:ilvl w:val="1"/>
          <w:numId w:val="19"/>
        </w:numPr>
        <w:spacing w:before="0" w:after="0"/>
        <w:rPr>
          <w:sz w:val="22"/>
          <w:szCs w:val="22"/>
        </w:rPr>
      </w:pPr>
      <w:r w:rsidRPr="005121A3">
        <w:rPr>
          <w:sz w:val="22"/>
          <w:szCs w:val="22"/>
        </w:rPr>
        <w:t xml:space="preserve">Many homes are not age-friendly causing risk of trips and falls or injury </w:t>
      </w:r>
    </w:p>
    <w:p w14:paraId="12A4458E" w14:textId="77777777" w:rsidR="00971A81" w:rsidRPr="005121A3" w:rsidRDefault="00971A81" w:rsidP="00971A81">
      <w:pPr>
        <w:numPr>
          <w:ilvl w:val="1"/>
          <w:numId w:val="19"/>
        </w:numPr>
        <w:spacing w:before="0" w:after="0"/>
        <w:rPr>
          <w:sz w:val="22"/>
          <w:szCs w:val="22"/>
        </w:rPr>
      </w:pPr>
      <w:r w:rsidRPr="005121A3">
        <w:rPr>
          <w:sz w:val="22"/>
          <w:szCs w:val="22"/>
        </w:rPr>
        <w:t xml:space="preserve">Factors impeding ageing in place included social isolation, tenure insecurity and cost of care </w:t>
      </w:r>
    </w:p>
    <w:p w14:paraId="430D1880" w14:textId="77777777" w:rsidR="00971A81" w:rsidRPr="005121A3" w:rsidRDefault="00971A81" w:rsidP="00971A81">
      <w:pPr>
        <w:numPr>
          <w:ilvl w:val="0"/>
          <w:numId w:val="19"/>
        </w:numPr>
        <w:spacing w:before="0" w:after="0"/>
        <w:rPr>
          <w:sz w:val="22"/>
          <w:szCs w:val="22"/>
        </w:rPr>
      </w:pPr>
      <w:r w:rsidRPr="005121A3">
        <w:rPr>
          <w:sz w:val="22"/>
          <w:szCs w:val="22"/>
        </w:rPr>
        <w:t xml:space="preserve">Key challenges of housing in rural communities included (p21): </w:t>
      </w:r>
    </w:p>
    <w:p w14:paraId="6871BE04" w14:textId="77777777" w:rsidR="00971A81" w:rsidRPr="005121A3" w:rsidRDefault="00971A81" w:rsidP="00971A81">
      <w:pPr>
        <w:numPr>
          <w:ilvl w:val="1"/>
          <w:numId w:val="19"/>
        </w:numPr>
        <w:spacing w:before="0" w:after="0"/>
        <w:rPr>
          <w:sz w:val="22"/>
          <w:szCs w:val="22"/>
        </w:rPr>
      </w:pPr>
      <w:r w:rsidRPr="005121A3">
        <w:rPr>
          <w:sz w:val="22"/>
          <w:szCs w:val="22"/>
        </w:rPr>
        <w:t xml:space="preserve">Shortage of trained professionals or installers </w:t>
      </w:r>
    </w:p>
    <w:p w14:paraId="6E937F49" w14:textId="77777777" w:rsidR="00971A81" w:rsidRPr="005121A3" w:rsidRDefault="00971A81" w:rsidP="00971A81">
      <w:pPr>
        <w:numPr>
          <w:ilvl w:val="1"/>
          <w:numId w:val="19"/>
        </w:numPr>
        <w:spacing w:before="0" w:after="0"/>
        <w:rPr>
          <w:sz w:val="22"/>
          <w:szCs w:val="22"/>
        </w:rPr>
      </w:pPr>
      <w:r w:rsidRPr="005121A3">
        <w:rPr>
          <w:sz w:val="22"/>
          <w:szCs w:val="22"/>
        </w:rPr>
        <w:t xml:space="preserve">Negative perception of accessibility modifications (lack of visual appeal) </w:t>
      </w:r>
    </w:p>
    <w:p w14:paraId="2B86F993" w14:textId="77777777" w:rsidR="00971A81" w:rsidRPr="005121A3" w:rsidRDefault="00971A81" w:rsidP="00971A81">
      <w:pPr>
        <w:numPr>
          <w:ilvl w:val="1"/>
          <w:numId w:val="19"/>
        </w:numPr>
        <w:spacing w:before="0" w:after="0"/>
        <w:rPr>
          <w:sz w:val="22"/>
          <w:szCs w:val="22"/>
        </w:rPr>
      </w:pPr>
      <w:r w:rsidRPr="005121A3">
        <w:rPr>
          <w:sz w:val="22"/>
          <w:szCs w:val="22"/>
        </w:rPr>
        <w:t xml:space="preserve">Lack of awareness  </w:t>
      </w:r>
    </w:p>
    <w:p w14:paraId="74213F29" w14:textId="77777777" w:rsidR="00971A81" w:rsidRPr="005121A3" w:rsidRDefault="00971A81" w:rsidP="00971A81">
      <w:pPr>
        <w:numPr>
          <w:ilvl w:val="1"/>
          <w:numId w:val="19"/>
        </w:numPr>
        <w:spacing w:before="0" w:after="0"/>
        <w:rPr>
          <w:sz w:val="22"/>
          <w:szCs w:val="22"/>
        </w:rPr>
      </w:pPr>
      <w:r w:rsidRPr="005121A3">
        <w:rPr>
          <w:sz w:val="22"/>
          <w:szCs w:val="22"/>
        </w:rPr>
        <w:t xml:space="preserve">Cost of modifications </w:t>
      </w:r>
    </w:p>
    <w:p w14:paraId="3A810207" w14:textId="77777777" w:rsidR="00971A81" w:rsidRDefault="00971A81" w:rsidP="00971A81">
      <w:pPr>
        <w:numPr>
          <w:ilvl w:val="1"/>
          <w:numId w:val="19"/>
        </w:numPr>
        <w:spacing w:before="0" w:after="0"/>
        <w:rPr>
          <w:sz w:val="22"/>
          <w:szCs w:val="22"/>
        </w:rPr>
      </w:pPr>
      <w:r w:rsidRPr="005121A3">
        <w:rPr>
          <w:sz w:val="22"/>
          <w:szCs w:val="22"/>
        </w:rPr>
        <w:t>Limitations around modifications</w:t>
      </w:r>
      <w:r>
        <w:rPr>
          <w:sz w:val="22"/>
          <w:szCs w:val="22"/>
        </w:rPr>
        <w:t>.</w:t>
      </w:r>
      <w:r w:rsidRPr="005121A3">
        <w:rPr>
          <w:sz w:val="22"/>
          <w:szCs w:val="22"/>
        </w:rPr>
        <w:t>”</w:t>
      </w:r>
    </w:p>
    <w:p w14:paraId="0237A362" w14:textId="77777777" w:rsidR="00EF2A03" w:rsidRDefault="00EF2A03" w:rsidP="00EF2A03">
      <w:pPr>
        <w:numPr>
          <w:ilvl w:val="0"/>
          <w:numId w:val="19"/>
        </w:numPr>
        <w:spacing w:before="0" w:after="0"/>
        <w:rPr>
          <w:sz w:val="22"/>
          <w:szCs w:val="22"/>
        </w:rPr>
      </w:pPr>
      <w:r w:rsidRPr="00175B16">
        <w:rPr>
          <w:sz w:val="22"/>
          <w:szCs w:val="22"/>
        </w:rPr>
        <w:t xml:space="preserve">Although the majority of older Australians own their own home, </w:t>
      </w:r>
      <w:r>
        <w:rPr>
          <w:sz w:val="22"/>
          <w:szCs w:val="22"/>
        </w:rPr>
        <w:t>this number is declining.  A</w:t>
      </w:r>
      <w:r w:rsidRPr="00175B16">
        <w:rPr>
          <w:sz w:val="22"/>
          <w:szCs w:val="22"/>
        </w:rPr>
        <w:t>bout 15% of older Australians are renters</w:t>
      </w:r>
      <w:r>
        <w:rPr>
          <w:sz w:val="22"/>
          <w:szCs w:val="22"/>
        </w:rPr>
        <w:t>.</w:t>
      </w:r>
      <w:r w:rsidRPr="00175B16">
        <w:rPr>
          <w:sz w:val="22"/>
          <w:szCs w:val="22"/>
        </w:rPr>
        <w:t xml:space="preserve"> </w:t>
      </w:r>
      <w:r>
        <w:rPr>
          <w:sz w:val="22"/>
          <w:szCs w:val="22"/>
        </w:rPr>
        <w:t>T</w:t>
      </w:r>
      <w:r w:rsidRPr="00175B16">
        <w:rPr>
          <w:sz w:val="22"/>
          <w:szCs w:val="22"/>
        </w:rPr>
        <w:t>hese people are generally a highly vulnerable and economically disadvantaged group</w:t>
      </w:r>
      <w:r>
        <w:rPr>
          <w:sz w:val="22"/>
          <w:szCs w:val="22"/>
        </w:rPr>
        <w:t>, particularly single person households,</w:t>
      </w:r>
      <w:r w:rsidRPr="00175B16">
        <w:rPr>
          <w:sz w:val="22"/>
          <w:szCs w:val="22"/>
        </w:rPr>
        <w:t xml:space="preserve">  with older women being the fastest growing demographic of people experiencing homelessness.  There is therefore a need for more adaptable, accessible dwellings, well located, secure, low maintenance and affordable to meet the needs of seniors and frail aged in particular, within their communities.  Those most in need are households in the private rental market, who struggle to afford housing on an Aged Pension or inadequate superannuation.</w:t>
      </w:r>
      <w:r>
        <w:rPr>
          <w:sz w:val="22"/>
          <w:szCs w:val="22"/>
        </w:rPr>
        <w:t xml:space="preserve">  </w:t>
      </w:r>
      <w:r w:rsidRPr="00841E54">
        <w:rPr>
          <w:sz w:val="22"/>
          <w:szCs w:val="22"/>
        </w:rPr>
        <w:t>(Source:  "Housing Decisions of Older Australians" Productivity Commission December 2015</w:t>
      </w:r>
      <w:r>
        <w:rPr>
          <w:sz w:val="20"/>
          <w:szCs w:val="20"/>
        </w:rPr>
        <w:t>)</w:t>
      </w:r>
      <w:r w:rsidRPr="00251AA5">
        <w:rPr>
          <w:sz w:val="20"/>
          <w:szCs w:val="20"/>
        </w:rPr>
        <w:t>.</w:t>
      </w:r>
      <w:r w:rsidRPr="005A2356">
        <w:rPr>
          <w:sz w:val="22"/>
          <w:szCs w:val="22"/>
        </w:rPr>
        <w:t xml:space="preserve"> </w:t>
      </w:r>
    </w:p>
    <w:p w14:paraId="2B839C1A" w14:textId="77777777" w:rsidR="00EF2A03" w:rsidRPr="00657A4D" w:rsidRDefault="00AF4900" w:rsidP="00EF2A03">
      <w:pPr>
        <w:pStyle w:val="ListParagraph"/>
        <w:numPr>
          <w:ilvl w:val="0"/>
          <w:numId w:val="19"/>
        </w:numPr>
        <w:spacing w:before="0" w:after="0"/>
        <w:rPr>
          <w:sz w:val="22"/>
          <w:szCs w:val="22"/>
        </w:rPr>
      </w:pPr>
      <w:r w:rsidRPr="00657A4D">
        <w:rPr>
          <w:rFonts w:cs="Arial"/>
          <w:sz w:val="22"/>
          <w:szCs w:val="22"/>
        </w:rPr>
        <w:t>In relation to the housing needs of older Indigenous residents, t</w:t>
      </w:r>
      <w:r w:rsidR="00D10BB8" w:rsidRPr="00657A4D">
        <w:rPr>
          <w:rFonts w:cs="Arial"/>
          <w:sz w:val="22"/>
          <w:szCs w:val="22"/>
        </w:rPr>
        <w:t xml:space="preserve">he </w:t>
      </w:r>
      <w:r w:rsidR="00437D7E" w:rsidRPr="00657A4D">
        <w:rPr>
          <w:rFonts w:cs="Arial"/>
          <w:sz w:val="22"/>
          <w:szCs w:val="22"/>
        </w:rPr>
        <w:t>Australian Institute of Health and Welfare (</w:t>
      </w:r>
      <w:r w:rsidR="00D10BB8" w:rsidRPr="00657A4D">
        <w:rPr>
          <w:rFonts w:cs="Arial"/>
          <w:sz w:val="22"/>
          <w:szCs w:val="22"/>
        </w:rPr>
        <w:t>AIHW</w:t>
      </w:r>
      <w:r w:rsidR="00437D7E" w:rsidRPr="00657A4D">
        <w:rPr>
          <w:rFonts w:cs="Arial"/>
          <w:sz w:val="22"/>
          <w:szCs w:val="22"/>
        </w:rPr>
        <w:t>)</w:t>
      </w:r>
      <w:r w:rsidR="00D10BB8" w:rsidRPr="00657A4D">
        <w:rPr>
          <w:rFonts w:cs="Arial"/>
          <w:sz w:val="22"/>
          <w:szCs w:val="22"/>
        </w:rPr>
        <w:t xml:space="preserve"> note that Aboriginal and Torres Strait Islander population has a much younger age structure than the non-Indigenous population, due to higher fertility rates and deaths occurring at younger ages.  Indigenous Australians have a greater need for care at a younger age compared to non-Indigenous Australians.  For this reason, planning for aged care services takes into account the needs of the Indigenous population aged 50 and over and the non-Indigenou</w:t>
      </w:r>
      <w:r w:rsidR="00F83F30" w:rsidRPr="00657A4D">
        <w:rPr>
          <w:rFonts w:cs="Arial"/>
          <w:sz w:val="22"/>
          <w:szCs w:val="22"/>
        </w:rPr>
        <w:t xml:space="preserve">s population aged 65 and over.  </w:t>
      </w:r>
      <w:r w:rsidR="00D10BB8" w:rsidRPr="00657A4D">
        <w:rPr>
          <w:rFonts w:cs="Arial"/>
          <w:sz w:val="22"/>
          <w:szCs w:val="22"/>
        </w:rPr>
        <w:t>However, the indigenous population, like the general population, is ageing</w:t>
      </w:r>
      <w:r w:rsidR="00EF2A03" w:rsidRPr="00657A4D">
        <w:rPr>
          <w:rFonts w:cs="Arial"/>
        </w:rPr>
        <w:t>.</w:t>
      </w:r>
    </w:p>
    <w:p w14:paraId="73085F72" w14:textId="77777777" w:rsidR="00F83F30" w:rsidRPr="00657A4D" w:rsidRDefault="00F83F30" w:rsidP="00EF2A03">
      <w:pPr>
        <w:pStyle w:val="ListParagraph"/>
        <w:numPr>
          <w:ilvl w:val="0"/>
          <w:numId w:val="19"/>
        </w:numPr>
        <w:spacing w:before="0" w:after="0"/>
        <w:rPr>
          <w:sz w:val="22"/>
          <w:szCs w:val="22"/>
        </w:rPr>
      </w:pPr>
      <w:r w:rsidRPr="00657A4D">
        <w:rPr>
          <w:rFonts w:cs="Arial"/>
          <w:sz w:val="22"/>
          <w:szCs w:val="22"/>
        </w:rPr>
        <w:t>Further, the AIHW explain that d</w:t>
      </w:r>
      <w:r w:rsidRPr="00657A4D">
        <w:rPr>
          <w:sz w:val="22"/>
          <w:szCs w:val="22"/>
        </w:rPr>
        <w:t>ifferences in aged care use exist between Indigenous and non-Indigenous Australians aged 50 and over. With the exception of those aged 65–69 and 75 and over using residential aged care, rates of aged care use were higher for Indigenous Australians than for non-Indigenous Australians.</w:t>
      </w:r>
    </w:p>
    <w:p w14:paraId="23428CA1" w14:textId="77777777" w:rsidR="00414BE1" w:rsidRPr="00657A4D" w:rsidRDefault="00F83F30" w:rsidP="00971A81">
      <w:pPr>
        <w:pStyle w:val="ListParagraph"/>
        <w:numPr>
          <w:ilvl w:val="0"/>
          <w:numId w:val="19"/>
        </w:numPr>
        <w:spacing w:before="0" w:after="0"/>
        <w:rPr>
          <w:sz w:val="22"/>
          <w:szCs w:val="22"/>
        </w:rPr>
      </w:pPr>
      <w:r w:rsidRPr="00657A4D">
        <w:rPr>
          <w:rFonts w:cs="Arial"/>
          <w:sz w:val="22"/>
          <w:szCs w:val="22"/>
        </w:rPr>
        <w:t>In addition, w</w:t>
      </w:r>
      <w:r w:rsidRPr="00657A4D">
        <w:rPr>
          <w:sz w:val="22"/>
          <w:szCs w:val="22"/>
        </w:rPr>
        <w:t>hile most Indigenous Australians using aged care services lived in non-remote areas, the proportion of all Australians using aged care who were Indigenous was considerably higher in remote areas. For example, among people using home support in 2019–20, 30% in remote areas were Indigenous, compared with 2.3% in non-remote areas.</w:t>
      </w:r>
    </w:p>
    <w:p w14:paraId="4B19CBD6" w14:textId="77777777" w:rsidR="00F02DD4" w:rsidRPr="00657A4D" w:rsidRDefault="00F02DD4" w:rsidP="00971A81">
      <w:pPr>
        <w:pStyle w:val="ListParagraph"/>
        <w:numPr>
          <w:ilvl w:val="0"/>
          <w:numId w:val="19"/>
        </w:numPr>
        <w:spacing w:before="0" w:after="0"/>
        <w:rPr>
          <w:sz w:val="22"/>
          <w:szCs w:val="22"/>
        </w:rPr>
      </w:pPr>
      <w:r w:rsidRPr="00657A4D">
        <w:rPr>
          <w:rFonts w:cs="Arial"/>
          <w:sz w:val="22"/>
          <w:szCs w:val="22"/>
        </w:rPr>
        <w:lastRenderedPageBreak/>
        <w:t>Appropriate, adequate and affordable housing for Indigenous Australians is a significant issue and one requiring cooperation between all levels of government with the community.</w:t>
      </w:r>
      <w:r w:rsidR="00CF3344" w:rsidRPr="00657A4D">
        <w:rPr>
          <w:rFonts w:cs="Arial"/>
          <w:sz w:val="22"/>
          <w:szCs w:val="22"/>
        </w:rPr>
        <w:t xml:space="preserve">  Indigenous Australians are overrepresented amongst the homeless </w:t>
      </w:r>
      <w:r w:rsidR="00897EC3" w:rsidRPr="00657A4D">
        <w:rPr>
          <w:rFonts w:cs="Arial"/>
          <w:sz w:val="22"/>
          <w:szCs w:val="22"/>
        </w:rPr>
        <w:t>population, frequently face difficulties accessing private rental and are also overrepresented amongst those seeking housing assistance.</w:t>
      </w:r>
    </w:p>
    <w:p w14:paraId="37ADB84B" w14:textId="77777777" w:rsidR="00F02DD4" w:rsidRPr="00F02DD4" w:rsidRDefault="00F02DD4" w:rsidP="00F02DD4">
      <w:pPr>
        <w:spacing w:before="0" w:after="0"/>
        <w:rPr>
          <w:sz w:val="22"/>
          <w:szCs w:val="22"/>
        </w:rPr>
      </w:pPr>
    </w:p>
    <w:p w14:paraId="1E83F023" w14:textId="77777777" w:rsidR="00F02DD4" w:rsidRDefault="00F02DD4" w:rsidP="00F02DD4">
      <w:pPr>
        <w:spacing w:before="0" w:after="0"/>
        <w:rPr>
          <w:sz w:val="22"/>
          <w:szCs w:val="22"/>
        </w:rPr>
      </w:pPr>
    </w:p>
    <w:p w14:paraId="46A02EDA" w14:textId="77777777" w:rsidR="00657A4D" w:rsidRDefault="00657A4D" w:rsidP="00F02DD4">
      <w:pPr>
        <w:spacing w:before="0" w:after="0"/>
        <w:rPr>
          <w:sz w:val="22"/>
          <w:szCs w:val="22"/>
        </w:rPr>
      </w:pPr>
    </w:p>
    <w:p w14:paraId="0A324D9F" w14:textId="77777777" w:rsidR="00BB1A96" w:rsidRDefault="00BB1A96" w:rsidP="00BB1A96">
      <w:pPr>
        <w:rPr>
          <w:b/>
          <w:color w:val="008000"/>
          <w:sz w:val="32"/>
        </w:rPr>
      </w:pPr>
      <w:r w:rsidRPr="00861755">
        <w:rPr>
          <w:b/>
          <w:color w:val="008000"/>
          <w:sz w:val="32"/>
        </w:rPr>
        <w:t>Household Type</w:t>
      </w:r>
    </w:p>
    <w:p w14:paraId="46D879DE" w14:textId="77777777" w:rsidR="00BB1A96" w:rsidRPr="009C27F5" w:rsidRDefault="00BB1A96" w:rsidP="00BB1A96">
      <w:pPr>
        <w:numPr>
          <w:ilvl w:val="0"/>
          <w:numId w:val="20"/>
        </w:numPr>
        <w:spacing w:before="0" w:after="0"/>
        <w:rPr>
          <w:sz w:val="22"/>
          <w:szCs w:val="22"/>
        </w:rPr>
      </w:pPr>
      <w:r w:rsidRPr="009C27F5">
        <w:rPr>
          <w:sz w:val="22"/>
          <w:szCs w:val="22"/>
        </w:rPr>
        <w:t xml:space="preserve">A look at household types and average household size gives some insight into the type of housing – particularly number of bedrooms – that is likely to be appropriate to meet the housing needs of the community. </w:t>
      </w:r>
    </w:p>
    <w:p w14:paraId="79C820D2" w14:textId="77777777" w:rsidR="00BB1A96" w:rsidRDefault="00BB1A96" w:rsidP="00BB1A96">
      <w:pPr>
        <w:numPr>
          <w:ilvl w:val="0"/>
          <w:numId w:val="20"/>
        </w:numPr>
        <w:spacing w:before="0" w:after="0"/>
        <w:rPr>
          <w:sz w:val="22"/>
          <w:szCs w:val="22"/>
        </w:rPr>
      </w:pPr>
      <w:r>
        <w:rPr>
          <w:sz w:val="22"/>
          <w:szCs w:val="22"/>
        </w:rPr>
        <w:t xml:space="preserve">Household types in the </w:t>
      </w:r>
      <w:r w:rsidR="005B1BAD">
        <w:rPr>
          <w:sz w:val="22"/>
          <w:szCs w:val="22"/>
        </w:rPr>
        <w:t xml:space="preserve">Far West are quite different from </w:t>
      </w:r>
      <w:r>
        <w:rPr>
          <w:sz w:val="22"/>
          <w:szCs w:val="22"/>
        </w:rPr>
        <w:t xml:space="preserve">the Rest of NSW.  </w:t>
      </w:r>
    </w:p>
    <w:p w14:paraId="0DA01D11" w14:textId="77777777" w:rsidR="00BB1A96" w:rsidRDefault="00BB1A96" w:rsidP="00BB1A96">
      <w:pPr>
        <w:numPr>
          <w:ilvl w:val="0"/>
          <w:numId w:val="20"/>
        </w:numPr>
        <w:spacing w:before="0" w:after="0"/>
        <w:rPr>
          <w:sz w:val="22"/>
          <w:szCs w:val="22"/>
        </w:rPr>
      </w:pPr>
      <w:r w:rsidRPr="00320047">
        <w:rPr>
          <w:sz w:val="22"/>
          <w:szCs w:val="22"/>
        </w:rPr>
        <w:t>At the 2021 Census in the Rest of NSW, couple families with</w:t>
      </w:r>
      <w:r>
        <w:rPr>
          <w:sz w:val="22"/>
          <w:szCs w:val="22"/>
        </w:rPr>
        <w:t xml:space="preserve">out </w:t>
      </w:r>
      <w:r w:rsidRPr="00320047">
        <w:rPr>
          <w:sz w:val="22"/>
          <w:szCs w:val="22"/>
        </w:rPr>
        <w:t xml:space="preserve">children (27.7%) and lone person households (26.1%) are the largest two household types. </w:t>
      </w:r>
      <w:r w:rsidR="005B1BAD">
        <w:rPr>
          <w:sz w:val="22"/>
          <w:szCs w:val="22"/>
        </w:rPr>
        <w:t xml:space="preserve"> Couple families with children make up a further significant 24.8%, one parent families 10.9% with group households </w:t>
      </w:r>
      <w:r w:rsidR="00A65F55">
        <w:rPr>
          <w:sz w:val="22"/>
          <w:szCs w:val="22"/>
        </w:rPr>
        <w:t xml:space="preserve">(3.1%) </w:t>
      </w:r>
      <w:r w:rsidR="005B1BAD">
        <w:rPr>
          <w:sz w:val="22"/>
          <w:szCs w:val="22"/>
        </w:rPr>
        <w:t xml:space="preserve">and other households </w:t>
      </w:r>
      <w:r w:rsidR="00A65F55">
        <w:rPr>
          <w:sz w:val="22"/>
          <w:szCs w:val="22"/>
        </w:rPr>
        <w:t xml:space="preserve">(6.5%) </w:t>
      </w:r>
      <w:r w:rsidR="005B1BAD">
        <w:rPr>
          <w:sz w:val="22"/>
          <w:szCs w:val="22"/>
        </w:rPr>
        <w:t xml:space="preserve">making up the remainder. </w:t>
      </w:r>
    </w:p>
    <w:p w14:paraId="5287C38E" w14:textId="77777777" w:rsidR="005B1BAD" w:rsidRDefault="00BB1A96" w:rsidP="00BB1A96">
      <w:pPr>
        <w:numPr>
          <w:ilvl w:val="0"/>
          <w:numId w:val="20"/>
        </w:numPr>
        <w:spacing w:before="0" w:after="0"/>
        <w:rPr>
          <w:sz w:val="22"/>
          <w:szCs w:val="22"/>
        </w:rPr>
      </w:pPr>
      <w:r w:rsidRPr="00CE7681">
        <w:rPr>
          <w:sz w:val="22"/>
          <w:szCs w:val="22"/>
        </w:rPr>
        <w:t xml:space="preserve">For the </w:t>
      </w:r>
      <w:r w:rsidR="005B1BAD">
        <w:rPr>
          <w:sz w:val="22"/>
          <w:szCs w:val="22"/>
        </w:rPr>
        <w:t>Far West</w:t>
      </w:r>
      <w:r w:rsidRPr="00CE7681">
        <w:rPr>
          <w:sz w:val="22"/>
          <w:szCs w:val="22"/>
        </w:rPr>
        <w:t xml:space="preserve"> region as a whole, </w:t>
      </w:r>
      <w:r w:rsidR="005B1BAD">
        <w:rPr>
          <w:sz w:val="22"/>
          <w:szCs w:val="22"/>
        </w:rPr>
        <w:t>lone person households are the largest household type comprising 28.5%, followed by couple families without children (22.9%), couple families with children (18.4%), other households (16.4%) and one parent families (10.5%).</w:t>
      </w:r>
      <w:r w:rsidR="00A65F55">
        <w:rPr>
          <w:sz w:val="22"/>
          <w:szCs w:val="22"/>
        </w:rPr>
        <w:t xml:space="preserve">  There is a significant proportion of other household types in this region (including multi-family households) – much greater than the Rest of NSW average.  </w:t>
      </w:r>
    </w:p>
    <w:p w14:paraId="3D660922" w14:textId="77777777" w:rsidR="00042238" w:rsidRDefault="00A65F55" w:rsidP="00BB1A96">
      <w:pPr>
        <w:numPr>
          <w:ilvl w:val="0"/>
          <w:numId w:val="20"/>
        </w:numPr>
        <w:spacing w:before="0" w:after="0"/>
        <w:rPr>
          <w:sz w:val="22"/>
          <w:szCs w:val="22"/>
        </w:rPr>
      </w:pPr>
      <w:r>
        <w:rPr>
          <w:sz w:val="22"/>
          <w:szCs w:val="22"/>
        </w:rPr>
        <w:t>There is variation within the LGAs of the region with</w:t>
      </w:r>
      <w:r w:rsidR="00042238">
        <w:rPr>
          <w:sz w:val="22"/>
          <w:szCs w:val="22"/>
        </w:rPr>
        <w:t>:</w:t>
      </w:r>
    </w:p>
    <w:p w14:paraId="0E79426F" w14:textId="77777777" w:rsidR="00042238" w:rsidRDefault="00A65F55" w:rsidP="00042238">
      <w:pPr>
        <w:numPr>
          <w:ilvl w:val="1"/>
          <w:numId w:val="20"/>
        </w:numPr>
        <w:spacing w:before="0" w:after="0"/>
        <w:rPr>
          <w:sz w:val="22"/>
          <w:szCs w:val="22"/>
        </w:rPr>
      </w:pPr>
      <w:r>
        <w:rPr>
          <w:sz w:val="22"/>
          <w:szCs w:val="22"/>
        </w:rPr>
        <w:t>Balranald</w:t>
      </w:r>
      <w:r w:rsidR="00497C5A">
        <w:rPr>
          <w:sz w:val="22"/>
          <w:szCs w:val="22"/>
        </w:rPr>
        <w:t xml:space="preserve"> (23.5% and 26.1%)</w:t>
      </w:r>
      <w:r>
        <w:rPr>
          <w:sz w:val="22"/>
          <w:szCs w:val="22"/>
        </w:rPr>
        <w:t xml:space="preserve">, Broken Hill </w:t>
      </w:r>
      <w:r w:rsidR="00497C5A">
        <w:rPr>
          <w:sz w:val="22"/>
          <w:szCs w:val="22"/>
        </w:rPr>
        <w:t xml:space="preserve">(33.8% and 23.6%) </w:t>
      </w:r>
      <w:r>
        <w:rPr>
          <w:sz w:val="22"/>
          <w:szCs w:val="22"/>
        </w:rPr>
        <w:t xml:space="preserve">and Cobar </w:t>
      </w:r>
      <w:r w:rsidR="00497C5A">
        <w:rPr>
          <w:sz w:val="22"/>
          <w:szCs w:val="22"/>
        </w:rPr>
        <w:t xml:space="preserve">(26.5% and 21.2%) </w:t>
      </w:r>
      <w:r>
        <w:rPr>
          <w:sz w:val="22"/>
          <w:szCs w:val="22"/>
        </w:rPr>
        <w:t>have lone person and couple only households as the largest two household types;</w:t>
      </w:r>
    </w:p>
    <w:p w14:paraId="5CF65113" w14:textId="77777777" w:rsidR="00042238" w:rsidRDefault="00A65F55" w:rsidP="00042238">
      <w:pPr>
        <w:numPr>
          <w:ilvl w:val="1"/>
          <w:numId w:val="20"/>
        </w:numPr>
        <w:spacing w:before="0" w:after="0"/>
        <w:rPr>
          <w:sz w:val="22"/>
          <w:szCs w:val="22"/>
        </w:rPr>
      </w:pPr>
      <w:r>
        <w:rPr>
          <w:sz w:val="22"/>
          <w:szCs w:val="22"/>
        </w:rPr>
        <w:t xml:space="preserve">Bourke has lone person </w:t>
      </w:r>
      <w:r w:rsidR="00D2313F">
        <w:rPr>
          <w:sz w:val="22"/>
          <w:szCs w:val="22"/>
        </w:rPr>
        <w:t xml:space="preserve">(24.9%) </w:t>
      </w:r>
      <w:r>
        <w:rPr>
          <w:sz w:val="22"/>
          <w:szCs w:val="22"/>
        </w:rPr>
        <w:t xml:space="preserve">and couple family with children </w:t>
      </w:r>
      <w:r w:rsidR="00D2313F">
        <w:rPr>
          <w:sz w:val="22"/>
          <w:szCs w:val="22"/>
        </w:rPr>
        <w:t xml:space="preserve">(22.0%) </w:t>
      </w:r>
      <w:r>
        <w:rPr>
          <w:sz w:val="22"/>
          <w:szCs w:val="22"/>
        </w:rPr>
        <w:t>as the largest two household types</w:t>
      </w:r>
      <w:r w:rsidR="00497C5A">
        <w:rPr>
          <w:sz w:val="22"/>
          <w:szCs w:val="22"/>
        </w:rPr>
        <w:t xml:space="preserve">;  </w:t>
      </w:r>
    </w:p>
    <w:p w14:paraId="70911AF1" w14:textId="77777777" w:rsidR="00042238" w:rsidRDefault="00497C5A" w:rsidP="00042238">
      <w:pPr>
        <w:numPr>
          <w:ilvl w:val="1"/>
          <w:numId w:val="20"/>
        </w:numPr>
        <w:spacing w:before="0" w:after="0"/>
        <w:rPr>
          <w:sz w:val="22"/>
          <w:szCs w:val="22"/>
        </w:rPr>
      </w:pPr>
      <w:r>
        <w:rPr>
          <w:sz w:val="22"/>
          <w:szCs w:val="22"/>
        </w:rPr>
        <w:t>Brewarrina</w:t>
      </w:r>
      <w:r w:rsidR="00D2313F">
        <w:rPr>
          <w:sz w:val="22"/>
          <w:szCs w:val="22"/>
        </w:rPr>
        <w:t xml:space="preserve"> (28.9% and 22.2%)</w:t>
      </w:r>
      <w:r>
        <w:rPr>
          <w:sz w:val="22"/>
          <w:szCs w:val="22"/>
        </w:rPr>
        <w:t xml:space="preserve">, Central Darling </w:t>
      </w:r>
      <w:r w:rsidR="00D2313F">
        <w:rPr>
          <w:sz w:val="22"/>
          <w:szCs w:val="22"/>
        </w:rPr>
        <w:t>(28.9</w:t>
      </w:r>
      <w:r w:rsidR="00A339E3">
        <w:rPr>
          <w:sz w:val="22"/>
          <w:szCs w:val="22"/>
        </w:rPr>
        <w:t>%</w:t>
      </w:r>
      <w:r w:rsidR="00D2313F">
        <w:rPr>
          <w:sz w:val="22"/>
          <w:szCs w:val="22"/>
        </w:rPr>
        <w:t xml:space="preserve"> and 28.5%) </w:t>
      </w:r>
      <w:r>
        <w:rPr>
          <w:sz w:val="22"/>
          <w:szCs w:val="22"/>
        </w:rPr>
        <w:t xml:space="preserve">and Walgett </w:t>
      </w:r>
      <w:r w:rsidR="00D2313F">
        <w:rPr>
          <w:sz w:val="22"/>
          <w:szCs w:val="22"/>
        </w:rPr>
        <w:t xml:space="preserve">(25.7% and 31.5%) </w:t>
      </w:r>
      <w:r>
        <w:rPr>
          <w:sz w:val="22"/>
          <w:szCs w:val="22"/>
        </w:rPr>
        <w:t xml:space="preserve">have lone person and other households as the largest two household types; </w:t>
      </w:r>
    </w:p>
    <w:p w14:paraId="09C395FA" w14:textId="77777777" w:rsidR="00042238" w:rsidRDefault="00497C5A" w:rsidP="00042238">
      <w:pPr>
        <w:numPr>
          <w:ilvl w:val="1"/>
          <w:numId w:val="20"/>
        </w:numPr>
        <w:spacing w:before="0" w:after="0"/>
        <w:rPr>
          <w:sz w:val="22"/>
          <w:szCs w:val="22"/>
        </w:rPr>
      </w:pPr>
      <w:r>
        <w:rPr>
          <w:sz w:val="22"/>
          <w:szCs w:val="22"/>
        </w:rPr>
        <w:t>Wentworth has couple family without children</w:t>
      </w:r>
      <w:r w:rsidR="00D2313F">
        <w:rPr>
          <w:sz w:val="22"/>
          <w:szCs w:val="22"/>
        </w:rPr>
        <w:t xml:space="preserve"> (29.0%)</w:t>
      </w:r>
      <w:r>
        <w:rPr>
          <w:sz w:val="22"/>
          <w:szCs w:val="22"/>
        </w:rPr>
        <w:t xml:space="preserve"> and couple family with children </w:t>
      </w:r>
      <w:r w:rsidR="00D2313F">
        <w:rPr>
          <w:sz w:val="22"/>
          <w:szCs w:val="22"/>
        </w:rPr>
        <w:t xml:space="preserve">(25.7%) </w:t>
      </w:r>
      <w:r>
        <w:rPr>
          <w:sz w:val="22"/>
          <w:szCs w:val="22"/>
        </w:rPr>
        <w:t xml:space="preserve">as the largest two household types; and </w:t>
      </w:r>
    </w:p>
    <w:p w14:paraId="2F5D4634" w14:textId="77777777" w:rsidR="00A65F55" w:rsidRDefault="00497C5A" w:rsidP="00042238">
      <w:pPr>
        <w:numPr>
          <w:ilvl w:val="1"/>
          <w:numId w:val="20"/>
        </w:numPr>
        <w:spacing w:before="0" w:after="0"/>
        <w:rPr>
          <w:sz w:val="22"/>
          <w:szCs w:val="22"/>
        </w:rPr>
      </w:pPr>
      <w:r>
        <w:rPr>
          <w:sz w:val="22"/>
          <w:szCs w:val="22"/>
        </w:rPr>
        <w:t xml:space="preserve">Unincorporated NSW has couple family without children </w:t>
      </w:r>
      <w:r w:rsidR="00D2313F">
        <w:rPr>
          <w:sz w:val="22"/>
          <w:szCs w:val="22"/>
        </w:rPr>
        <w:t xml:space="preserve">(23.9%) </w:t>
      </w:r>
      <w:r>
        <w:rPr>
          <w:sz w:val="22"/>
          <w:szCs w:val="22"/>
        </w:rPr>
        <w:t xml:space="preserve">and other households </w:t>
      </w:r>
      <w:r w:rsidR="00D2313F">
        <w:rPr>
          <w:sz w:val="22"/>
          <w:szCs w:val="22"/>
        </w:rPr>
        <w:t xml:space="preserve">(24.3%) </w:t>
      </w:r>
      <w:r>
        <w:rPr>
          <w:sz w:val="22"/>
          <w:szCs w:val="22"/>
        </w:rPr>
        <w:t>as the largest two household types.</w:t>
      </w:r>
      <w:r w:rsidR="00A65F55">
        <w:rPr>
          <w:sz w:val="22"/>
          <w:szCs w:val="22"/>
        </w:rPr>
        <w:t xml:space="preserve"> </w:t>
      </w:r>
    </w:p>
    <w:p w14:paraId="285AFD14" w14:textId="77777777" w:rsidR="00BB1A96" w:rsidRPr="00A62C8E" w:rsidRDefault="00BB1A96" w:rsidP="00BB1A96">
      <w:pPr>
        <w:numPr>
          <w:ilvl w:val="0"/>
          <w:numId w:val="20"/>
        </w:numPr>
        <w:spacing w:before="0" w:after="0"/>
        <w:rPr>
          <w:sz w:val="22"/>
          <w:szCs w:val="22"/>
        </w:rPr>
      </w:pPr>
      <w:r w:rsidRPr="00A62C8E">
        <w:rPr>
          <w:sz w:val="22"/>
          <w:szCs w:val="22"/>
        </w:rPr>
        <w:t xml:space="preserve">There has been a small shift since the 2016 Census, with an increase in </w:t>
      </w:r>
      <w:r>
        <w:rPr>
          <w:sz w:val="22"/>
          <w:szCs w:val="22"/>
        </w:rPr>
        <w:t xml:space="preserve">the proportion of </w:t>
      </w:r>
      <w:r w:rsidRPr="00A62C8E">
        <w:rPr>
          <w:sz w:val="22"/>
          <w:szCs w:val="22"/>
        </w:rPr>
        <w:t xml:space="preserve">couple family without children households in the Rest of NSW (0.7%), a decline in </w:t>
      </w:r>
      <w:r>
        <w:rPr>
          <w:sz w:val="22"/>
          <w:szCs w:val="22"/>
        </w:rPr>
        <w:t xml:space="preserve">the proportion of </w:t>
      </w:r>
      <w:r w:rsidRPr="00A62C8E">
        <w:rPr>
          <w:sz w:val="22"/>
          <w:szCs w:val="22"/>
        </w:rPr>
        <w:t>couple families with children households (-0.6%)</w:t>
      </w:r>
      <w:r w:rsidR="00E4716A">
        <w:rPr>
          <w:sz w:val="22"/>
          <w:szCs w:val="22"/>
        </w:rPr>
        <w:t>,</w:t>
      </w:r>
      <w:r w:rsidRPr="00A62C8E">
        <w:rPr>
          <w:sz w:val="22"/>
          <w:szCs w:val="22"/>
        </w:rPr>
        <w:t xml:space="preserve"> a small increase in</w:t>
      </w:r>
      <w:r>
        <w:rPr>
          <w:sz w:val="22"/>
          <w:szCs w:val="22"/>
        </w:rPr>
        <w:t xml:space="preserve"> the proportion of</w:t>
      </w:r>
      <w:r w:rsidRPr="00A62C8E">
        <w:rPr>
          <w:sz w:val="22"/>
          <w:szCs w:val="22"/>
        </w:rPr>
        <w:t xml:space="preserve"> lone person households (0.5%)</w:t>
      </w:r>
      <w:r w:rsidR="00E4716A">
        <w:rPr>
          <w:sz w:val="22"/>
          <w:szCs w:val="22"/>
        </w:rPr>
        <w:t xml:space="preserve"> and a decline in the proportion of other households (-0.6%)</w:t>
      </w:r>
      <w:r w:rsidRPr="00A62C8E">
        <w:rPr>
          <w:sz w:val="22"/>
          <w:szCs w:val="22"/>
        </w:rPr>
        <w:t xml:space="preserve">.  </w:t>
      </w:r>
    </w:p>
    <w:p w14:paraId="45ABA6FB" w14:textId="77777777" w:rsidR="00E4716A" w:rsidRDefault="00BB1A96" w:rsidP="00BB1A96">
      <w:pPr>
        <w:numPr>
          <w:ilvl w:val="0"/>
          <w:numId w:val="20"/>
        </w:numPr>
        <w:spacing w:before="0" w:after="0"/>
        <w:rPr>
          <w:sz w:val="22"/>
          <w:szCs w:val="22"/>
        </w:rPr>
      </w:pPr>
      <w:r>
        <w:rPr>
          <w:sz w:val="22"/>
          <w:szCs w:val="22"/>
        </w:rPr>
        <w:t xml:space="preserve">For the </w:t>
      </w:r>
      <w:r w:rsidR="00E4716A">
        <w:rPr>
          <w:sz w:val="22"/>
          <w:szCs w:val="22"/>
        </w:rPr>
        <w:t>Far West</w:t>
      </w:r>
      <w:r>
        <w:rPr>
          <w:sz w:val="22"/>
          <w:szCs w:val="22"/>
        </w:rPr>
        <w:t xml:space="preserve"> region as a whole, the changes were </w:t>
      </w:r>
      <w:r w:rsidR="00E4716A">
        <w:rPr>
          <w:sz w:val="22"/>
          <w:szCs w:val="22"/>
        </w:rPr>
        <w:t>a little different</w:t>
      </w:r>
      <w:r>
        <w:rPr>
          <w:sz w:val="22"/>
          <w:szCs w:val="22"/>
        </w:rPr>
        <w:t xml:space="preserve"> to the Rest of NSW – </w:t>
      </w:r>
      <w:r w:rsidR="00E4716A">
        <w:rPr>
          <w:sz w:val="22"/>
          <w:szCs w:val="22"/>
        </w:rPr>
        <w:t xml:space="preserve">with a decline in the proportion of couple family without children households (-0.3%), a larger decline in the proportion of couple family with children households (-1.2%), a small decline in </w:t>
      </w:r>
      <w:r w:rsidR="007453A9">
        <w:rPr>
          <w:sz w:val="22"/>
          <w:szCs w:val="22"/>
        </w:rPr>
        <w:t xml:space="preserve">the proportion of </w:t>
      </w:r>
      <w:r w:rsidR="00E4716A">
        <w:rPr>
          <w:sz w:val="22"/>
          <w:szCs w:val="22"/>
        </w:rPr>
        <w:t xml:space="preserve">lone person households (-0.2%) and a </w:t>
      </w:r>
      <w:r w:rsidR="007453A9">
        <w:rPr>
          <w:sz w:val="22"/>
          <w:szCs w:val="22"/>
        </w:rPr>
        <w:t>significant increase in other households (3.0%).</w:t>
      </w:r>
    </w:p>
    <w:p w14:paraId="6531C64B" w14:textId="77777777" w:rsidR="00BB1A96" w:rsidRDefault="00BB1A96" w:rsidP="00BB1A96">
      <w:pPr>
        <w:numPr>
          <w:ilvl w:val="0"/>
          <w:numId w:val="20"/>
        </w:numPr>
        <w:spacing w:before="0" w:after="0"/>
        <w:rPr>
          <w:sz w:val="22"/>
          <w:szCs w:val="22"/>
        </w:rPr>
      </w:pPr>
      <w:r>
        <w:rPr>
          <w:sz w:val="22"/>
          <w:szCs w:val="22"/>
        </w:rPr>
        <w:lastRenderedPageBreak/>
        <w:t>Changes in individual LGAs are not all in line with</w:t>
      </w:r>
      <w:r w:rsidR="007453A9">
        <w:rPr>
          <w:sz w:val="22"/>
          <w:szCs w:val="22"/>
        </w:rPr>
        <w:t xml:space="preserve"> the changes in the region as a whole</w:t>
      </w:r>
      <w:r>
        <w:rPr>
          <w:sz w:val="22"/>
          <w:szCs w:val="22"/>
        </w:rPr>
        <w:t>:</w:t>
      </w:r>
    </w:p>
    <w:p w14:paraId="419126A7" w14:textId="77777777" w:rsidR="00BB1A96" w:rsidRDefault="00BB1A96" w:rsidP="00BB1A96">
      <w:pPr>
        <w:numPr>
          <w:ilvl w:val="1"/>
          <w:numId w:val="20"/>
        </w:numPr>
        <w:spacing w:before="0" w:after="0"/>
        <w:rPr>
          <w:sz w:val="22"/>
          <w:szCs w:val="22"/>
        </w:rPr>
      </w:pPr>
      <w:r>
        <w:rPr>
          <w:sz w:val="22"/>
          <w:szCs w:val="22"/>
        </w:rPr>
        <w:t xml:space="preserve">For couple families without children, </w:t>
      </w:r>
      <w:r w:rsidR="007453A9">
        <w:rPr>
          <w:sz w:val="22"/>
          <w:szCs w:val="22"/>
        </w:rPr>
        <w:t xml:space="preserve">Balranald, Bourke, Central Darling and Wentworth </w:t>
      </w:r>
      <w:r>
        <w:rPr>
          <w:sz w:val="22"/>
          <w:szCs w:val="22"/>
        </w:rPr>
        <w:t>experienced a</w:t>
      </w:r>
      <w:r w:rsidR="007453A9">
        <w:rPr>
          <w:sz w:val="22"/>
          <w:szCs w:val="22"/>
        </w:rPr>
        <w:t xml:space="preserve">n increase </w:t>
      </w:r>
      <w:r>
        <w:rPr>
          <w:sz w:val="22"/>
          <w:szCs w:val="22"/>
        </w:rPr>
        <w:t>in the proportion in this household type between 2016 and 2021</w:t>
      </w:r>
      <w:r w:rsidR="007453A9">
        <w:rPr>
          <w:sz w:val="22"/>
          <w:szCs w:val="22"/>
        </w:rPr>
        <w:t>, while Brewarrina, Broken Hill, Cobar, Walgett and Unincorporated NSW saw a decline in the proportion.</w:t>
      </w:r>
    </w:p>
    <w:p w14:paraId="7884B4B9" w14:textId="77777777" w:rsidR="004A31C0" w:rsidRDefault="00BB1A96" w:rsidP="00BB1A96">
      <w:pPr>
        <w:numPr>
          <w:ilvl w:val="1"/>
          <w:numId w:val="20"/>
        </w:numPr>
        <w:spacing w:before="0" w:after="0"/>
        <w:rPr>
          <w:sz w:val="22"/>
          <w:szCs w:val="22"/>
        </w:rPr>
      </w:pPr>
      <w:r>
        <w:rPr>
          <w:sz w:val="22"/>
          <w:szCs w:val="22"/>
        </w:rPr>
        <w:t xml:space="preserve">For couple families with children, </w:t>
      </w:r>
      <w:r w:rsidR="004A31C0">
        <w:rPr>
          <w:sz w:val="22"/>
          <w:szCs w:val="22"/>
        </w:rPr>
        <w:t>Bourke and Wentworth experienced an increase in the proportion, there was no change in Unincorporated NSW and the remaining LGAs all had an increase.</w:t>
      </w:r>
    </w:p>
    <w:p w14:paraId="1616182B" w14:textId="77777777" w:rsidR="004A31C0" w:rsidRDefault="00BB1A96" w:rsidP="00BB1A96">
      <w:pPr>
        <w:numPr>
          <w:ilvl w:val="1"/>
          <w:numId w:val="20"/>
        </w:numPr>
        <w:spacing w:before="0" w:after="0"/>
        <w:rPr>
          <w:sz w:val="22"/>
          <w:szCs w:val="22"/>
        </w:rPr>
      </w:pPr>
      <w:r>
        <w:rPr>
          <w:sz w:val="22"/>
          <w:szCs w:val="22"/>
        </w:rPr>
        <w:t xml:space="preserve">For lone person households, </w:t>
      </w:r>
      <w:r w:rsidR="004A31C0">
        <w:rPr>
          <w:sz w:val="22"/>
          <w:szCs w:val="22"/>
        </w:rPr>
        <w:t>Bourke, Brewarrina, Broken Hill and Cobar all experienced an increase in the proportion of this household type while the remaining LGAs had a decline.</w:t>
      </w:r>
    </w:p>
    <w:p w14:paraId="68A9DFF1" w14:textId="77777777" w:rsidR="00BB1A96" w:rsidRDefault="004A31C0" w:rsidP="00BB1A96">
      <w:pPr>
        <w:numPr>
          <w:ilvl w:val="1"/>
          <w:numId w:val="20"/>
        </w:numPr>
        <w:spacing w:before="0" w:after="0"/>
        <w:rPr>
          <w:sz w:val="22"/>
          <w:szCs w:val="22"/>
        </w:rPr>
      </w:pPr>
      <w:r>
        <w:rPr>
          <w:sz w:val="22"/>
          <w:szCs w:val="22"/>
        </w:rPr>
        <w:t>For other households, every LGA except Bourke (which declined) had an increase in the proportion of this household type</w:t>
      </w:r>
      <w:r w:rsidR="00BB1A96">
        <w:rPr>
          <w:sz w:val="22"/>
          <w:szCs w:val="22"/>
        </w:rPr>
        <w:t>.</w:t>
      </w:r>
    </w:p>
    <w:p w14:paraId="580114D7" w14:textId="77777777" w:rsidR="00BB1A96" w:rsidRPr="00841E54" w:rsidRDefault="00BB1A96" w:rsidP="00BB1A96">
      <w:pPr>
        <w:numPr>
          <w:ilvl w:val="0"/>
          <w:numId w:val="20"/>
        </w:numPr>
        <w:spacing w:before="0" w:after="0"/>
        <w:rPr>
          <w:sz w:val="22"/>
          <w:szCs w:val="22"/>
        </w:rPr>
      </w:pPr>
      <w:r w:rsidRPr="00841E54">
        <w:rPr>
          <w:sz w:val="22"/>
          <w:szCs w:val="22"/>
        </w:rPr>
        <w:t xml:space="preserve">This data should be compared with the data on bedroom numbers to determine if there is a good fit between household types and housing stock. </w:t>
      </w:r>
    </w:p>
    <w:p w14:paraId="3C895259" w14:textId="77777777" w:rsidR="00BB1A96" w:rsidRPr="009F1B21" w:rsidRDefault="00BB1A96" w:rsidP="00BB1A96">
      <w:pPr>
        <w:numPr>
          <w:ilvl w:val="0"/>
          <w:numId w:val="20"/>
        </w:numPr>
        <w:spacing w:before="0" w:after="0"/>
        <w:rPr>
          <w:sz w:val="22"/>
          <w:szCs w:val="22"/>
        </w:rPr>
      </w:pPr>
      <w:r w:rsidRPr="00841E54">
        <w:rPr>
          <w:sz w:val="22"/>
          <w:szCs w:val="22"/>
        </w:rPr>
        <w:t>Although there should be plenty of housing suitable for families of different sizes, there is also a need for a variety of dwellings with different bedroom numbers to suit couples and single person households</w:t>
      </w:r>
      <w:r w:rsidRPr="00841E54">
        <w:rPr>
          <w:rFonts w:cs="Arial"/>
          <w:sz w:val="22"/>
          <w:szCs w:val="22"/>
        </w:rPr>
        <w:t>.</w:t>
      </w:r>
    </w:p>
    <w:p w14:paraId="7B28FCCA" w14:textId="77777777" w:rsidR="00BB1A96" w:rsidRDefault="00BB1A96" w:rsidP="00BB1A96">
      <w:pPr>
        <w:numPr>
          <w:ilvl w:val="0"/>
          <w:numId w:val="20"/>
        </w:numPr>
        <w:spacing w:before="0" w:after="0"/>
        <w:rPr>
          <w:sz w:val="22"/>
          <w:szCs w:val="22"/>
        </w:rPr>
      </w:pPr>
      <w:r w:rsidRPr="00175B16">
        <w:rPr>
          <w:sz w:val="22"/>
          <w:szCs w:val="22"/>
        </w:rPr>
        <w:t xml:space="preserve">The graph </w:t>
      </w:r>
      <w:r>
        <w:rPr>
          <w:sz w:val="22"/>
          <w:szCs w:val="22"/>
        </w:rPr>
        <w:t xml:space="preserve">and table </w:t>
      </w:r>
      <w:r w:rsidRPr="00175B16">
        <w:rPr>
          <w:sz w:val="22"/>
          <w:szCs w:val="22"/>
        </w:rPr>
        <w:t xml:space="preserve">below show the proportion in each key household type for every </w:t>
      </w:r>
      <w:r w:rsidR="004A31C0">
        <w:rPr>
          <w:sz w:val="22"/>
          <w:szCs w:val="22"/>
        </w:rPr>
        <w:t>Far West</w:t>
      </w:r>
      <w:r w:rsidRPr="00175B16">
        <w:rPr>
          <w:sz w:val="22"/>
          <w:szCs w:val="22"/>
        </w:rPr>
        <w:t xml:space="preserve"> </w:t>
      </w:r>
      <w:r>
        <w:rPr>
          <w:sz w:val="22"/>
          <w:szCs w:val="22"/>
        </w:rPr>
        <w:t xml:space="preserve">LGA, for the region and for the </w:t>
      </w:r>
      <w:r w:rsidRPr="00175B16">
        <w:rPr>
          <w:sz w:val="22"/>
          <w:szCs w:val="22"/>
        </w:rPr>
        <w:t>Rest of NSW at the 20</w:t>
      </w:r>
      <w:r>
        <w:rPr>
          <w:sz w:val="22"/>
          <w:szCs w:val="22"/>
        </w:rPr>
        <w:t>21</w:t>
      </w:r>
      <w:r w:rsidRPr="00175B16">
        <w:rPr>
          <w:sz w:val="22"/>
          <w:szCs w:val="22"/>
        </w:rPr>
        <w:t xml:space="preserve"> Census.</w:t>
      </w:r>
    </w:p>
    <w:p w14:paraId="6E76D721" w14:textId="77777777" w:rsidR="00BB1A96" w:rsidRDefault="00BB1A96" w:rsidP="00BB1A96">
      <w:pPr>
        <w:spacing w:before="0" w:after="0"/>
        <w:rPr>
          <w:sz w:val="22"/>
          <w:szCs w:val="22"/>
        </w:rPr>
      </w:pPr>
    </w:p>
    <w:p w14:paraId="6027EFAB" w14:textId="77777777" w:rsidR="00BB1A96" w:rsidRDefault="00BB1A96" w:rsidP="00BB1A96">
      <w:pPr>
        <w:spacing w:before="0" w:after="0"/>
        <w:rPr>
          <w:sz w:val="22"/>
          <w:szCs w:val="22"/>
        </w:rPr>
      </w:pPr>
    </w:p>
    <w:p w14:paraId="77225580" w14:textId="77777777" w:rsidR="00BB1A96" w:rsidRPr="00BB1A96" w:rsidRDefault="00BB1A96" w:rsidP="00BB1A96">
      <w:pPr>
        <w:spacing w:before="0" w:after="0"/>
        <w:rPr>
          <w:sz w:val="22"/>
          <w:szCs w:val="22"/>
        </w:rPr>
      </w:pPr>
      <w:r>
        <w:rPr>
          <w:noProof/>
          <w:sz w:val="22"/>
          <w:szCs w:val="22"/>
        </w:rPr>
        <w:drawing>
          <wp:inline distT="0" distB="0" distL="0" distR="0" wp14:anchorId="41AB438C" wp14:editId="624B2507">
            <wp:extent cx="6093460" cy="3729824"/>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7959" cy="3738699"/>
                    </a:xfrm>
                    <a:prstGeom prst="rect">
                      <a:avLst/>
                    </a:prstGeom>
                    <a:noFill/>
                  </pic:spPr>
                </pic:pic>
              </a:graphicData>
            </a:graphic>
          </wp:inline>
        </w:drawing>
      </w:r>
    </w:p>
    <w:p w14:paraId="7B36FC4B" w14:textId="77777777" w:rsidR="00BB1A96" w:rsidRDefault="00BB1A96" w:rsidP="00BB1A96">
      <w:pPr>
        <w:spacing w:before="0" w:after="0"/>
        <w:rPr>
          <w:sz w:val="22"/>
          <w:szCs w:val="22"/>
        </w:rPr>
      </w:pPr>
    </w:p>
    <w:p w14:paraId="0779BF90" w14:textId="77777777" w:rsidR="00BB1A96" w:rsidRDefault="00BB1A96" w:rsidP="00BB1A96">
      <w:pPr>
        <w:spacing w:before="0" w:after="0"/>
        <w:rPr>
          <w:sz w:val="22"/>
          <w:szCs w:val="22"/>
        </w:rPr>
      </w:pPr>
    </w:p>
    <w:p w14:paraId="64B6A398" w14:textId="77777777" w:rsidR="00BB1A96" w:rsidRDefault="00BB1A96" w:rsidP="00BB1A96">
      <w:pPr>
        <w:spacing w:before="0" w:after="0"/>
        <w:rPr>
          <w:sz w:val="22"/>
          <w:szCs w:val="22"/>
        </w:rPr>
      </w:pPr>
    </w:p>
    <w:p w14:paraId="4DAEE578" w14:textId="77777777" w:rsidR="00BB1A96" w:rsidRDefault="00D46709" w:rsidP="00BB1A96">
      <w:pPr>
        <w:spacing w:before="0" w:after="0"/>
        <w:rPr>
          <w:sz w:val="22"/>
          <w:szCs w:val="22"/>
        </w:rPr>
      </w:pPr>
      <w:r w:rsidRPr="00D46709">
        <w:rPr>
          <w:noProof/>
        </w:rPr>
        <w:lastRenderedPageBreak/>
        <w:drawing>
          <wp:inline distT="0" distB="0" distL="0" distR="0" wp14:anchorId="77D86F35" wp14:editId="452F3326">
            <wp:extent cx="5295900" cy="33416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8774" cy="3343506"/>
                    </a:xfrm>
                    <a:prstGeom prst="rect">
                      <a:avLst/>
                    </a:prstGeom>
                    <a:noFill/>
                    <a:ln>
                      <a:noFill/>
                    </a:ln>
                  </pic:spPr>
                </pic:pic>
              </a:graphicData>
            </a:graphic>
          </wp:inline>
        </w:drawing>
      </w:r>
    </w:p>
    <w:p w14:paraId="49A611F9" w14:textId="77777777" w:rsidR="00BB1A96" w:rsidRDefault="00BB1A96" w:rsidP="00BB1A96">
      <w:pPr>
        <w:spacing w:before="0" w:after="0"/>
        <w:rPr>
          <w:sz w:val="22"/>
          <w:szCs w:val="22"/>
        </w:rPr>
      </w:pPr>
    </w:p>
    <w:p w14:paraId="030C4E15" w14:textId="77777777" w:rsidR="00D46709" w:rsidRDefault="00D46709" w:rsidP="00BB1A96">
      <w:pPr>
        <w:spacing w:before="0" w:after="0"/>
        <w:rPr>
          <w:sz w:val="22"/>
          <w:szCs w:val="22"/>
        </w:rPr>
      </w:pPr>
    </w:p>
    <w:p w14:paraId="0A1C4031" w14:textId="77777777" w:rsidR="00D46709" w:rsidRDefault="00D46709" w:rsidP="00BB1A96">
      <w:pPr>
        <w:spacing w:before="0" w:after="0"/>
        <w:rPr>
          <w:sz w:val="22"/>
          <w:szCs w:val="22"/>
        </w:rPr>
      </w:pPr>
    </w:p>
    <w:p w14:paraId="78D752FE" w14:textId="77777777" w:rsidR="00ED6184" w:rsidRDefault="00ED6184" w:rsidP="00555F5C">
      <w:pPr>
        <w:rPr>
          <w:b/>
          <w:color w:val="008000"/>
          <w:sz w:val="32"/>
        </w:rPr>
      </w:pPr>
    </w:p>
    <w:p w14:paraId="7797DE23" w14:textId="77777777" w:rsidR="00555F5C" w:rsidRDefault="00555F5C" w:rsidP="00555F5C">
      <w:pPr>
        <w:rPr>
          <w:b/>
          <w:color w:val="008000"/>
          <w:sz w:val="32"/>
        </w:rPr>
      </w:pPr>
      <w:r w:rsidRPr="00B405B2">
        <w:rPr>
          <w:b/>
          <w:color w:val="008000"/>
          <w:sz w:val="32"/>
        </w:rPr>
        <w:t>Household Size</w:t>
      </w:r>
    </w:p>
    <w:p w14:paraId="1831C9CC" w14:textId="77777777" w:rsidR="00A839C8" w:rsidRDefault="00A839C8" w:rsidP="00A839C8">
      <w:pPr>
        <w:numPr>
          <w:ilvl w:val="0"/>
          <w:numId w:val="13"/>
        </w:numPr>
        <w:spacing w:before="0" w:after="0"/>
        <w:rPr>
          <w:sz w:val="22"/>
          <w:szCs w:val="22"/>
        </w:rPr>
      </w:pPr>
      <w:r>
        <w:rPr>
          <w:sz w:val="22"/>
          <w:szCs w:val="22"/>
        </w:rPr>
        <w:t>At the 2021 Census, the average household size for the Rest of NSW was 2.4 persons per household – unchanged from 2016 and 2011.</w:t>
      </w:r>
    </w:p>
    <w:p w14:paraId="49174BEF" w14:textId="77777777" w:rsidR="00A839C8" w:rsidRDefault="00A839C8" w:rsidP="00A839C8">
      <w:pPr>
        <w:numPr>
          <w:ilvl w:val="0"/>
          <w:numId w:val="13"/>
        </w:numPr>
        <w:spacing w:before="0" w:after="0"/>
        <w:rPr>
          <w:sz w:val="22"/>
          <w:szCs w:val="22"/>
        </w:rPr>
      </w:pPr>
      <w:r w:rsidRPr="00E578D4">
        <w:rPr>
          <w:sz w:val="22"/>
          <w:szCs w:val="22"/>
        </w:rPr>
        <w:t xml:space="preserve">Average household size in the </w:t>
      </w:r>
      <w:r>
        <w:rPr>
          <w:sz w:val="22"/>
          <w:szCs w:val="22"/>
        </w:rPr>
        <w:t>Far West</w:t>
      </w:r>
      <w:r w:rsidRPr="00E578D4">
        <w:rPr>
          <w:sz w:val="22"/>
          <w:szCs w:val="22"/>
        </w:rPr>
        <w:t xml:space="preserve"> ranges from 2.</w:t>
      </w:r>
      <w:r>
        <w:rPr>
          <w:sz w:val="22"/>
          <w:szCs w:val="22"/>
        </w:rPr>
        <w:t>2</w:t>
      </w:r>
      <w:r w:rsidRPr="00E578D4">
        <w:rPr>
          <w:sz w:val="22"/>
          <w:szCs w:val="22"/>
        </w:rPr>
        <w:t xml:space="preserve"> persons per household in </w:t>
      </w:r>
      <w:r>
        <w:rPr>
          <w:sz w:val="22"/>
          <w:szCs w:val="22"/>
        </w:rPr>
        <w:t xml:space="preserve">Broken Hill and Walgett </w:t>
      </w:r>
      <w:r w:rsidRPr="00E578D4">
        <w:rPr>
          <w:sz w:val="22"/>
          <w:szCs w:val="22"/>
        </w:rPr>
        <w:t>to 2.</w:t>
      </w:r>
      <w:r>
        <w:rPr>
          <w:sz w:val="22"/>
          <w:szCs w:val="22"/>
        </w:rPr>
        <w:t>5</w:t>
      </w:r>
      <w:r w:rsidRPr="00E578D4">
        <w:rPr>
          <w:sz w:val="22"/>
          <w:szCs w:val="22"/>
        </w:rPr>
        <w:t xml:space="preserve"> persons per household in </w:t>
      </w:r>
      <w:r>
        <w:rPr>
          <w:sz w:val="22"/>
          <w:szCs w:val="22"/>
        </w:rPr>
        <w:t>Balranald, Bourke, Wentworth and Unincorporated NSW</w:t>
      </w:r>
      <w:r w:rsidRPr="00E578D4">
        <w:rPr>
          <w:sz w:val="22"/>
          <w:szCs w:val="22"/>
        </w:rPr>
        <w:t xml:space="preserve">. </w:t>
      </w:r>
      <w:r>
        <w:rPr>
          <w:sz w:val="22"/>
          <w:szCs w:val="22"/>
        </w:rPr>
        <w:t xml:space="preserve"> </w:t>
      </w:r>
    </w:p>
    <w:p w14:paraId="1DC8EBD7" w14:textId="77777777" w:rsidR="00A839C8" w:rsidRPr="00E675CA" w:rsidRDefault="00A839C8" w:rsidP="00A839C8">
      <w:pPr>
        <w:numPr>
          <w:ilvl w:val="0"/>
          <w:numId w:val="13"/>
        </w:numPr>
        <w:spacing w:before="0" w:after="0"/>
        <w:rPr>
          <w:sz w:val="22"/>
          <w:szCs w:val="22"/>
        </w:rPr>
      </w:pPr>
      <w:r w:rsidRPr="00E675CA">
        <w:rPr>
          <w:sz w:val="22"/>
          <w:szCs w:val="22"/>
        </w:rPr>
        <w:t xml:space="preserve">In line with the trend in the Rest of NSW, between 2016 and 2021, average household size was stable </w:t>
      </w:r>
      <w:r w:rsidR="00EE73F7">
        <w:rPr>
          <w:sz w:val="22"/>
          <w:szCs w:val="22"/>
        </w:rPr>
        <w:t xml:space="preserve">in Balranald, Bourke, Broken Hill and Unincorporated NSW.  </w:t>
      </w:r>
      <w:r>
        <w:rPr>
          <w:sz w:val="22"/>
          <w:szCs w:val="22"/>
        </w:rPr>
        <w:t xml:space="preserve">Brewarrina saw a very strong decline from 2.6 persons per households in 2016 to 2.3 persons per household in 2021.  Average household size declined slightly in </w:t>
      </w:r>
      <w:r w:rsidR="00EE73F7">
        <w:rPr>
          <w:sz w:val="22"/>
          <w:szCs w:val="22"/>
        </w:rPr>
        <w:t xml:space="preserve">Central Darling (2.4 to 2.3), Cobar (2.4 to 2.3) and </w:t>
      </w:r>
      <w:r>
        <w:rPr>
          <w:sz w:val="22"/>
          <w:szCs w:val="22"/>
        </w:rPr>
        <w:t>Walgett (from 2.3 to 2.2) and increased slightly in Wentworth (from 2.4 to 2.5).</w:t>
      </w:r>
    </w:p>
    <w:p w14:paraId="400C4CAE" w14:textId="77777777" w:rsidR="00A839C8" w:rsidRPr="00175B16" w:rsidRDefault="00A839C8" w:rsidP="00A839C8">
      <w:pPr>
        <w:numPr>
          <w:ilvl w:val="0"/>
          <w:numId w:val="13"/>
        </w:numPr>
        <w:spacing w:before="0" w:after="0"/>
        <w:rPr>
          <w:sz w:val="22"/>
          <w:szCs w:val="22"/>
        </w:rPr>
      </w:pPr>
      <w:r w:rsidRPr="00175B16">
        <w:rPr>
          <w:sz w:val="22"/>
          <w:szCs w:val="22"/>
        </w:rPr>
        <w:t>The table below gives the average household</w:t>
      </w:r>
      <w:r>
        <w:rPr>
          <w:sz w:val="22"/>
          <w:szCs w:val="22"/>
        </w:rPr>
        <w:t xml:space="preserve"> size in each of the Far West LGAs as well as</w:t>
      </w:r>
      <w:r w:rsidRPr="00175B16">
        <w:rPr>
          <w:sz w:val="22"/>
          <w:szCs w:val="22"/>
        </w:rPr>
        <w:t xml:space="preserve"> the Rest of NSW</w:t>
      </w:r>
      <w:r>
        <w:rPr>
          <w:sz w:val="22"/>
          <w:szCs w:val="22"/>
        </w:rPr>
        <w:t xml:space="preserve"> </w:t>
      </w:r>
      <w:r w:rsidRPr="00175B16">
        <w:rPr>
          <w:sz w:val="22"/>
          <w:szCs w:val="22"/>
        </w:rPr>
        <w:t>for 2011</w:t>
      </w:r>
      <w:r>
        <w:rPr>
          <w:sz w:val="22"/>
          <w:szCs w:val="22"/>
        </w:rPr>
        <w:t>,</w:t>
      </w:r>
      <w:r w:rsidRPr="00175B16">
        <w:rPr>
          <w:sz w:val="22"/>
          <w:szCs w:val="22"/>
        </w:rPr>
        <w:t xml:space="preserve"> 2016</w:t>
      </w:r>
      <w:r>
        <w:rPr>
          <w:sz w:val="22"/>
          <w:szCs w:val="22"/>
        </w:rPr>
        <w:t xml:space="preserve"> and 2021</w:t>
      </w:r>
      <w:r w:rsidRPr="00175B16">
        <w:rPr>
          <w:sz w:val="22"/>
          <w:szCs w:val="22"/>
        </w:rPr>
        <w:t>.</w:t>
      </w:r>
    </w:p>
    <w:p w14:paraId="32E6842E" w14:textId="77777777" w:rsidR="00A839C8" w:rsidRDefault="00A839C8" w:rsidP="00A839C8">
      <w:pPr>
        <w:spacing w:before="0" w:after="0"/>
        <w:rPr>
          <w:sz w:val="22"/>
          <w:szCs w:val="22"/>
        </w:rPr>
      </w:pPr>
    </w:p>
    <w:p w14:paraId="5069B1CD" w14:textId="77777777" w:rsidR="00A839C8" w:rsidRDefault="00A839C8" w:rsidP="00A839C8">
      <w:pPr>
        <w:spacing w:before="0" w:after="0"/>
        <w:rPr>
          <w:sz w:val="22"/>
          <w:szCs w:val="22"/>
        </w:rPr>
      </w:pPr>
    </w:p>
    <w:p w14:paraId="01D6DE31" w14:textId="77777777" w:rsidR="00A839C8" w:rsidRDefault="00A839C8" w:rsidP="00A839C8">
      <w:pPr>
        <w:spacing w:before="0" w:after="0"/>
        <w:rPr>
          <w:sz w:val="22"/>
          <w:szCs w:val="22"/>
        </w:rPr>
      </w:pPr>
      <w:r w:rsidRPr="00A839C8">
        <w:rPr>
          <w:noProof/>
        </w:rPr>
        <w:lastRenderedPageBreak/>
        <w:drawing>
          <wp:inline distT="0" distB="0" distL="0" distR="0" wp14:anchorId="3ECA0C0D" wp14:editId="683D20FE">
            <wp:extent cx="3571875" cy="2486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875" cy="2486025"/>
                    </a:xfrm>
                    <a:prstGeom prst="rect">
                      <a:avLst/>
                    </a:prstGeom>
                    <a:noFill/>
                    <a:ln>
                      <a:noFill/>
                    </a:ln>
                  </pic:spPr>
                </pic:pic>
              </a:graphicData>
            </a:graphic>
          </wp:inline>
        </w:drawing>
      </w:r>
    </w:p>
    <w:p w14:paraId="2B16B3AD" w14:textId="77777777" w:rsidR="00A839C8" w:rsidRDefault="00A839C8" w:rsidP="00A839C8">
      <w:pPr>
        <w:spacing w:before="0" w:after="0"/>
        <w:rPr>
          <w:sz w:val="22"/>
          <w:szCs w:val="22"/>
        </w:rPr>
      </w:pPr>
    </w:p>
    <w:p w14:paraId="20F7BE55" w14:textId="77777777" w:rsidR="00A839C8" w:rsidRDefault="00A839C8" w:rsidP="00A839C8">
      <w:pPr>
        <w:spacing w:before="0" w:after="0"/>
        <w:rPr>
          <w:sz w:val="22"/>
          <w:szCs w:val="22"/>
        </w:rPr>
      </w:pPr>
    </w:p>
    <w:p w14:paraId="5B4D7C1F" w14:textId="77777777" w:rsidR="00A839C8" w:rsidRDefault="00A839C8" w:rsidP="00A839C8">
      <w:pPr>
        <w:spacing w:before="0" w:after="0"/>
        <w:rPr>
          <w:sz w:val="22"/>
          <w:szCs w:val="22"/>
        </w:rPr>
      </w:pPr>
    </w:p>
    <w:p w14:paraId="469FA8C6" w14:textId="77777777" w:rsidR="00A839C8" w:rsidRDefault="00A839C8" w:rsidP="00A839C8">
      <w:pPr>
        <w:spacing w:before="0" w:after="0"/>
        <w:rPr>
          <w:sz w:val="22"/>
          <w:szCs w:val="22"/>
        </w:rPr>
      </w:pPr>
    </w:p>
    <w:p w14:paraId="761A82E7" w14:textId="77777777" w:rsidR="00144B44" w:rsidRPr="00ED6184" w:rsidRDefault="00144B44" w:rsidP="00144B44">
      <w:pPr>
        <w:spacing w:before="0" w:after="0"/>
        <w:rPr>
          <w:sz w:val="22"/>
          <w:szCs w:val="22"/>
        </w:rPr>
      </w:pPr>
    </w:p>
    <w:p w14:paraId="721CC2FD" w14:textId="77777777" w:rsidR="00555F5C" w:rsidRPr="00BC68ED" w:rsidRDefault="00555F5C" w:rsidP="00555F5C">
      <w:pPr>
        <w:rPr>
          <w:b/>
          <w:color w:val="008000"/>
          <w:sz w:val="32"/>
        </w:rPr>
      </w:pPr>
      <w:r w:rsidRPr="00BC68ED">
        <w:rPr>
          <w:b/>
          <w:color w:val="008000"/>
          <w:sz w:val="32"/>
        </w:rPr>
        <w:t>Income</w:t>
      </w:r>
    </w:p>
    <w:p w14:paraId="5471537A" w14:textId="77777777" w:rsidR="00D3079F" w:rsidRPr="00CF2C0C" w:rsidRDefault="00D3079F" w:rsidP="00D3079F">
      <w:pPr>
        <w:numPr>
          <w:ilvl w:val="0"/>
          <w:numId w:val="13"/>
        </w:numPr>
        <w:spacing w:before="0" w:after="0"/>
        <w:rPr>
          <w:sz w:val="22"/>
          <w:szCs w:val="22"/>
        </w:rPr>
      </w:pPr>
      <w:r w:rsidRPr="00CF2C0C">
        <w:rPr>
          <w:sz w:val="22"/>
          <w:szCs w:val="22"/>
        </w:rPr>
        <w:t xml:space="preserve">At the 2021 Census, low income households comprise the largest proportion of all households in the Rest of NSW, in the </w:t>
      </w:r>
      <w:r w:rsidR="00E10561">
        <w:rPr>
          <w:sz w:val="22"/>
          <w:szCs w:val="22"/>
        </w:rPr>
        <w:t xml:space="preserve">Far West </w:t>
      </w:r>
      <w:r w:rsidRPr="00CF2C0C">
        <w:rPr>
          <w:sz w:val="22"/>
          <w:szCs w:val="22"/>
        </w:rPr>
        <w:t xml:space="preserve">as a whole and </w:t>
      </w:r>
      <w:r w:rsidR="00E10561">
        <w:rPr>
          <w:sz w:val="22"/>
          <w:szCs w:val="22"/>
        </w:rPr>
        <w:t xml:space="preserve">in </w:t>
      </w:r>
      <w:r w:rsidR="006A6EA2">
        <w:rPr>
          <w:sz w:val="22"/>
          <w:szCs w:val="22"/>
        </w:rPr>
        <w:t>all but two</w:t>
      </w:r>
      <w:r>
        <w:rPr>
          <w:sz w:val="22"/>
          <w:szCs w:val="22"/>
        </w:rPr>
        <w:t xml:space="preserve"> of the region’s LGAs</w:t>
      </w:r>
      <w:r w:rsidR="006A6EA2">
        <w:rPr>
          <w:sz w:val="22"/>
          <w:szCs w:val="22"/>
        </w:rPr>
        <w:t>/areas</w:t>
      </w:r>
      <w:r w:rsidR="00E10561">
        <w:rPr>
          <w:sz w:val="22"/>
          <w:szCs w:val="22"/>
        </w:rPr>
        <w:t xml:space="preserve"> (</w:t>
      </w:r>
      <w:r w:rsidR="006A6EA2">
        <w:rPr>
          <w:sz w:val="22"/>
          <w:szCs w:val="22"/>
        </w:rPr>
        <w:t xml:space="preserve">Cobar and </w:t>
      </w:r>
      <w:r w:rsidR="00E10561">
        <w:rPr>
          <w:sz w:val="22"/>
          <w:szCs w:val="22"/>
        </w:rPr>
        <w:t>Unincorporated NSW)</w:t>
      </w:r>
      <w:r w:rsidRPr="00CF2C0C">
        <w:rPr>
          <w:sz w:val="22"/>
          <w:szCs w:val="22"/>
        </w:rPr>
        <w:t>.</w:t>
      </w:r>
    </w:p>
    <w:p w14:paraId="1A9C5AFF" w14:textId="77777777" w:rsidR="00E10561" w:rsidRDefault="00E10561" w:rsidP="00D3079F">
      <w:pPr>
        <w:numPr>
          <w:ilvl w:val="0"/>
          <w:numId w:val="13"/>
        </w:numPr>
        <w:spacing w:before="0" w:after="0"/>
        <w:rPr>
          <w:sz w:val="22"/>
          <w:szCs w:val="22"/>
        </w:rPr>
      </w:pPr>
      <w:r>
        <w:rPr>
          <w:sz w:val="22"/>
          <w:szCs w:val="22"/>
        </w:rPr>
        <w:t>Brewarrina (66.4%), Central Darling (54.6%), Walgett (65.4%) and Wentworth (55.4%) all had higher proportion of low income households than the average for the Rest of NSW (49.3%) and for the Far West region (48.9%).</w:t>
      </w:r>
    </w:p>
    <w:p w14:paraId="7B5B9CC9" w14:textId="77777777" w:rsidR="006A6EA2" w:rsidRDefault="00E10561" w:rsidP="00D3079F">
      <w:pPr>
        <w:numPr>
          <w:ilvl w:val="0"/>
          <w:numId w:val="13"/>
        </w:numPr>
        <w:spacing w:before="0" w:after="0"/>
        <w:rPr>
          <w:sz w:val="22"/>
          <w:szCs w:val="22"/>
        </w:rPr>
      </w:pPr>
      <w:r>
        <w:rPr>
          <w:sz w:val="22"/>
          <w:szCs w:val="22"/>
        </w:rPr>
        <w:t>Balranald (41.2%), Bourke (</w:t>
      </w:r>
      <w:r w:rsidR="006A6EA2">
        <w:rPr>
          <w:sz w:val="22"/>
          <w:szCs w:val="22"/>
        </w:rPr>
        <w:t>46.8%), Broken Hill (46.3%), Cobar (33.5%) and Unincorporated NSW (22.7%) all had a lower proportion of lower income households than the Rest of NSW average.</w:t>
      </w:r>
    </w:p>
    <w:p w14:paraId="049AB50C" w14:textId="77777777" w:rsidR="00D3079F" w:rsidRPr="00175B16" w:rsidRDefault="00D3079F" w:rsidP="00D3079F">
      <w:pPr>
        <w:numPr>
          <w:ilvl w:val="0"/>
          <w:numId w:val="13"/>
        </w:numPr>
        <w:spacing w:before="0" w:after="0"/>
        <w:rPr>
          <w:sz w:val="22"/>
          <w:szCs w:val="22"/>
        </w:rPr>
      </w:pPr>
      <w:r w:rsidRPr="00175B16">
        <w:rPr>
          <w:sz w:val="22"/>
          <w:szCs w:val="22"/>
        </w:rPr>
        <w:t>Moderate income households in the Rest of NSW comprise 21.</w:t>
      </w:r>
      <w:r>
        <w:rPr>
          <w:sz w:val="22"/>
          <w:szCs w:val="22"/>
        </w:rPr>
        <w:t>5</w:t>
      </w:r>
      <w:r w:rsidRPr="00175B16">
        <w:rPr>
          <w:sz w:val="22"/>
          <w:szCs w:val="22"/>
        </w:rPr>
        <w:t>% of all households</w:t>
      </w:r>
      <w:r>
        <w:rPr>
          <w:sz w:val="22"/>
          <w:szCs w:val="22"/>
        </w:rPr>
        <w:t xml:space="preserve"> and </w:t>
      </w:r>
      <w:r w:rsidR="006A6EA2">
        <w:rPr>
          <w:sz w:val="22"/>
          <w:szCs w:val="22"/>
        </w:rPr>
        <w:t>18.2</w:t>
      </w:r>
      <w:r>
        <w:rPr>
          <w:sz w:val="22"/>
          <w:szCs w:val="22"/>
        </w:rPr>
        <w:t xml:space="preserve">% for the </w:t>
      </w:r>
      <w:r w:rsidR="006A6EA2">
        <w:rPr>
          <w:sz w:val="22"/>
          <w:szCs w:val="22"/>
        </w:rPr>
        <w:t>Far West</w:t>
      </w:r>
      <w:r>
        <w:rPr>
          <w:sz w:val="22"/>
          <w:szCs w:val="22"/>
        </w:rPr>
        <w:t xml:space="preserve"> as a whole</w:t>
      </w:r>
      <w:r w:rsidRPr="00175B16">
        <w:rPr>
          <w:sz w:val="22"/>
          <w:szCs w:val="22"/>
        </w:rPr>
        <w:t xml:space="preserve">, while in </w:t>
      </w:r>
      <w:r>
        <w:rPr>
          <w:sz w:val="22"/>
          <w:szCs w:val="22"/>
        </w:rPr>
        <w:t>the LGAs of the region</w:t>
      </w:r>
      <w:r w:rsidR="008016F9">
        <w:rPr>
          <w:sz w:val="22"/>
          <w:szCs w:val="22"/>
        </w:rPr>
        <w:t>, moderate income households</w:t>
      </w:r>
      <w:r w:rsidRPr="00175B16">
        <w:rPr>
          <w:sz w:val="22"/>
          <w:szCs w:val="22"/>
        </w:rPr>
        <w:t xml:space="preserve"> range from </w:t>
      </w:r>
      <w:r>
        <w:rPr>
          <w:sz w:val="22"/>
          <w:szCs w:val="22"/>
        </w:rPr>
        <w:t>1</w:t>
      </w:r>
      <w:r w:rsidR="008016F9">
        <w:rPr>
          <w:sz w:val="22"/>
          <w:szCs w:val="22"/>
        </w:rPr>
        <w:t>4.2</w:t>
      </w:r>
      <w:r w:rsidRPr="00175B16">
        <w:rPr>
          <w:sz w:val="22"/>
          <w:szCs w:val="22"/>
        </w:rPr>
        <w:t xml:space="preserve">% in </w:t>
      </w:r>
      <w:r w:rsidR="008016F9">
        <w:rPr>
          <w:sz w:val="22"/>
          <w:szCs w:val="22"/>
        </w:rPr>
        <w:t>Brewarrina</w:t>
      </w:r>
      <w:r>
        <w:rPr>
          <w:sz w:val="22"/>
          <w:szCs w:val="22"/>
        </w:rPr>
        <w:t xml:space="preserve"> </w:t>
      </w:r>
      <w:r w:rsidRPr="00175B16">
        <w:rPr>
          <w:sz w:val="22"/>
          <w:szCs w:val="22"/>
        </w:rPr>
        <w:t>to 2</w:t>
      </w:r>
      <w:r w:rsidR="008016F9">
        <w:rPr>
          <w:sz w:val="22"/>
          <w:szCs w:val="22"/>
        </w:rPr>
        <w:t>2.5</w:t>
      </w:r>
      <w:r w:rsidRPr="00175B16">
        <w:rPr>
          <w:sz w:val="22"/>
          <w:szCs w:val="22"/>
        </w:rPr>
        <w:t xml:space="preserve">% in </w:t>
      </w:r>
      <w:r w:rsidR="008016F9">
        <w:rPr>
          <w:sz w:val="22"/>
          <w:szCs w:val="22"/>
        </w:rPr>
        <w:t>Balranald</w:t>
      </w:r>
      <w:r w:rsidRPr="00175B16">
        <w:rPr>
          <w:sz w:val="22"/>
          <w:szCs w:val="22"/>
        </w:rPr>
        <w:t>.</w:t>
      </w:r>
    </w:p>
    <w:p w14:paraId="3E2041BC" w14:textId="77777777" w:rsidR="00D3079F" w:rsidRDefault="00D3079F" w:rsidP="00D3079F">
      <w:pPr>
        <w:numPr>
          <w:ilvl w:val="0"/>
          <w:numId w:val="13"/>
        </w:numPr>
        <w:spacing w:before="0" w:after="0"/>
        <w:rPr>
          <w:sz w:val="22"/>
          <w:szCs w:val="22"/>
        </w:rPr>
      </w:pPr>
      <w:r w:rsidRPr="00175B16">
        <w:rPr>
          <w:sz w:val="22"/>
          <w:szCs w:val="22"/>
        </w:rPr>
        <w:t xml:space="preserve">High income households comprise </w:t>
      </w:r>
      <w:r>
        <w:rPr>
          <w:sz w:val="22"/>
          <w:szCs w:val="22"/>
        </w:rPr>
        <w:t>29.2</w:t>
      </w:r>
      <w:r w:rsidRPr="00175B16">
        <w:rPr>
          <w:sz w:val="22"/>
          <w:szCs w:val="22"/>
        </w:rPr>
        <w:t>% of all households in the Rest of NSW</w:t>
      </w:r>
      <w:r>
        <w:rPr>
          <w:sz w:val="22"/>
          <w:szCs w:val="22"/>
        </w:rPr>
        <w:t>,</w:t>
      </w:r>
      <w:r w:rsidRPr="00175B16">
        <w:rPr>
          <w:sz w:val="22"/>
          <w:szCs w:val="22"/>
        </w:rPr>
        <w:t xml:space="preserve"> </w:t>
      </w:r>
      <w:r w:rsidR="00233EA8">
        <w:rPr>
          <w:sz w:val="22"/>
          <w:szCs w:val="22"/>
        </w:rPr>
        <w:t>32.9</w:t>
      </w:r>
      <w:r>
        <w:rPr>
          <w:sz w:val="22"/>
          <w:szCs w:val="22"/>
        </w:rPr>
        <w:t xml:space="preserve">% on average across the </w:t>
      </w:r>
      <w:r w:rsidR="00233EA8">
        <w:rPr>
          <w:sz w:val="22"/>
          <w:szCs w:val="22"/>
        </w:rPr>
        <w:t>Far West</w:t>
      </w:r>
      <w:r>
        <w:rPr>
          <w:sz w:val="22"/>
          <w:szCs w:val="22"/>
        </w:rPr>
        <w:t xml:space="preserve"> region and range from 1</w:t>
      </w:r>
      <w:r w:rsidR="00233EA8">
        <w:rPr>
          <w:sz w:val="22"/>
          <w:szCs w:val="22"/>
        </w:rPr>
        <w:t>9.4</w:t>
      </w:r>
      <w:r>
        <w:rPr>
          <w:sz w:val="22"/>
          <w:szCs w:val="22"/>
        </w:rPr>
        <w:t xml:space="preserve">% of households in </w:t>
      </w:r>
      <w:r w:rsidR="00233EA8">
        <w:rPr>
          <w:sz w:val="22"/>
          <w:szCs w:val="22"/>
        </w:rPr>
        <w:t>Brewarrina and Walgett</w:t>
      </w:r>
      <w:r>
        <w:rPr>
          <w:sz w:val="22"/>
          <w:szCs w:val="22"/>
        </w:rPr>
        <w:t xml:space="preserve"> to </w:t>
      </w:r>
      <w:r w:rsidR="00233EA8">
        <w:rPr>
          <w:sz w:val="22"/>
          <w:szCs w:val="22"/>
        </w:rPr>
        <w:t>51.5</w:t>
      </w:r>
      <w:r>
        <w:rPr>
          <w:sz w:val="22"/>
          <w:szCs w:val="22"/>
        </w:rPr>
        <w:t xml:space="preserve">% in </w:t>
      </w:r>
      <w:r w:rsidR="00233EA8">
        <w:rPr>
          <w:sz w:val="22"/>
          <w:szCs w:val="22"/>
        </w:rPr>
        <w:t>Cobar</w:t>
      </w:r>
      <w:r>
        <w:rPr>
          <w:sz w:val="22"/>
          <w:szCs w:val="22"/>
        </w:rPr>
        <w:t>.</w:t>
      </w:r>
    </w:p>
    <w:p w14:paraId="7686A1DC" w14:textId="77777777" w:rsidR="00D3079F" w:rsidRDefault="00D3079F" w:rsidP="00D3079F">
      <w:pPr>
        <w:numPr>
          <w:ilvl w:val="0"/>
          <w:numId w:val="13"/>
        </w:numPr>
        <w:spacing w:before="0" w:after="0"/>
        <w:rPr>
          <w:sz w:val="22"/>
          <w:szCs w:val="22"/>
        </w:rPr>
      </w:pPr>
      <w:r>
        <w:rPr>
          <w:sz w:val="22"/>
          <w:szCs w:val="22"/>
        </w:rPr>
        <w:t xml:space="preserve">The graph and table below show the proportion of low, moderate and high income households in all the </w:t>
      </w:r>
      <w:r w:rsidR="005C1E4A">
        <w:rPr>
          <w:sz w:val="22"/>
          <w:szCs w:val="22"/>
        </w:rPr>
        <w:t>Far West</w:t>
      </w:r>
      <w:r>
        <w:rPr>
          <w:sz w:val="22"/>
          <w:szCs w:val="22"/>
        </w:rPr>
        <w:t xml:space="preserve"> LGAs</w:t>
      </w:r>
      <w:r w:rsidR="00640E93">
        <w:rPr>
          <w:sz w:val="22"/>
          <w:szCs w:val="22"/>
        </w:rPr>
        <w:t>/areas</w:t>
      </w:r>
      <w:r>
        <w:rPr>
          <w:sz w:val="22"/>
          <w:szCs w:val="22"/>
        </w:rPr>
        <w:t>, compared with the region and Rest of NSW at the 2021 Census.</w:t>
      </w:r>
    </w:p>
    <w:p w14:paraId="25FC6996" w14:textId="77777777" w:rsidR="00D3079F" w:rsidRDefault="00D3079F" w:rsidP="00D3079F">
      <w:pPr>
        <w:spacing w:before="0" w:after="0"/>
        <w:rPr>
          <w:sz w:val="22"/>
          <w:szCs w:val="22"/>
        </w:rPr>
      </w:pPr>
    </w:p>
    <w:p w14:paraId="5F6B7249" w14:textId="77777777" w:rsidR="00D3079F" w:rsidRDefault="00D3079F" w:rsidP="00D3079F">
      <w:pPr>
        <w:spacing w:before="0" w:after="0"/>
        <w:rPr>
          <w:sz w:val="22"/>
          <w:szCs w:val="22"/>
        </w:rPr>
      </w:pPr>
    </w:p>
    <w:p w14:paraId="380C4FB5" w14:textId="77777777" w:rsidR="00C4626B" w:rsidRDefault="00E07E15" w:rsidP="00D3079F">
      <w:pPr>
        <w:spacing w:before="0" w:after="0"/>
        <w:rPr>
          <w:sz w:val="22"/>
          <w:szCs w:val="22"/>
        </w:rPr>
      </w:pPr>
      <w:r>
        <w:rPr>
          <w:noProof/>
          <w:sz w:val="22"/>
          <w:szCs w:val="22"/>
        </w:rPr>
        <w:lastRenderedPageBreak/>
        <w:drawing>
          <wp:inline distT="0" distB="0" distL="0" distR="0" wp14:anchorId="0C279B0D" wp14:editId="6673EEFA">
            <wp:extent cx="6054090" cy="3383280"/>
            <wp:effectExtent l="0" t="0" r="381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4090" cy="3383280"/>
                    </a:xfrm>
                    <a:prstGeom prst="rect">
                      <a:avLst/>
                    </a:prstGeom>
                    <a:noFill/>
                  </pic:spPr>
                </pic:pic>
              </a:graphicData>
            </a:graphic>
          </wp:inline>
        </w:drawing>
      </w:r>
    </w:p>
    <w:p w14:paraId="4B5AAFE4" w14:textId="77777777" w:rsidR="00D3079F" w:rsidRDefault="00D3079F" w:rsidP="00D3079F">
      <w:pPr>
        <w:spacing w:before="0" w:after="0"/>
        <w:rPr>
          <w:sz w:val="22"/>
          <w:szCs w:val="22"/>
        </w:rPr>
      </w:pPr>
    </w:p>
    <w:p w14:paraId="711A8F33" w14:textId="77777777" w:rsidR="00D3079F" w:rsidRDefault="00D3079F" w:rsidP="00D3079F">
      <w:pPr>
        <w:spacing w:before="0" w:after="0"/>
        <w:rPr>
          <w:sz w:val="22"/>
          <w:szCs w:val="22"/>
        </w:rPr>
      </w:pPr>
    </w:p>
    <w:p w14:paraId="22F47B69" w14:textId="77777777" w:rsidR="00E07E15" w:rsidRDefault="00E06EB4" w:rsidP="00D3079F">
      <w:pPr>
        <w:spacing w:before="0" w:after="0"/>
        <w:rPr>
          <w:sz w:val="22"/>
          <w:szCs w:val="22"/>
        </w:rPr>
      </w:pPr>
      <w:r w:rsidRPr="00E06EB4">
        <w:rPr>
          <w:noProof/>
        </w:rPr>
        <w:drawing>
          <wp:inline distT="0" distB="0" distL="0" distR="0" wp14:anchorId="08A3E1F0" wp14:editId="121F63FF">
            <wp:extent cx="3190875" cy="3057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0875" cy="3057525"/>
                    </a:xfrm>
                    <a:prstGeom prst="rect">
                      <a:avLst/>
                    </a:prstGeom>
                    <a:noFill/>
                    <a:ln>
                      <a:noFill/>
                    </a:ln>
                  </pic:spPr>
                </pic:pic>
              </a:graphicData>
            </a:graphic>
          </wp:inline>
        </w:drawing>
      </w:r>
    </w:p>
    <w:p w14:paraId="182F2391" w14:textId="77777777" w:rsidR="00E07E15" w:rsidRDefault="00E07E15" w:rsidP="00D3079F">
      <w:pPr>
        <w:spacing w:before="0" w:after="0"/>
        <w:rPr>
          <w:sz w:val="22"/>
          <w:szCs w:val="22"/>
        </w:rPr>
      </w:pPr>
    </w:p>
    <w:p w14:paraId="637442E5" w14:textId="77777777" w:rsidR="00E07E15" w:rsidRDefault="00E07E15" w:rsidP="00D3079F">
      <w:pPr>
        <w:spacing w:before="0" w:after="0"/>
        <w:rPr>
          <w:sz w:val="22"/>
          <w:szCs w:val="22"/>
        </w:rPr>
      </w:pPr>
    </w:p>
    <w:p w14:paraId="7E37477E" w14:textId="77777777" w:rsidR="00E07E15" w:rsidRDefault="00E07E15" w:rsidP="00E07E15">
      <w:pPr>
        <w:numPr>
          <w:ilvl w:val="0"/>
          <w:numId w:val="13"/>
        </w:numPr>
        <w:spacing w:before="0" w:after="0"/>
        <w:rPr>
          <w:sz w:val="22"/>
          <w:szCs w:val="22"/>
        </w:rPr>
      </w:pPr>
      <w:r w:rsidRPr="00175B16">
        <w:rPr>
          <w:sz w:val="22"/>
          <w:szCs w:val="22"/>
        </w:rPr>
        <w:t>Between 201</w:t>
      </w:r>
      <w:r>
        <w:rPr>
          <w:sz w:val="22"/>
          <w:szCs w:val="22"/>
        </w:rPr>
        <w:t>6</w:t>
      </w:r>
      <w:r w:rsidRPr="00175B16">
        <w:rPr>
          <w:sz w:val="22"/>
          <w:szCs w:val="22"/>
        </w:rPr>
        <w:t xml:space="preserve"> and 20</w:t>
      </w:r>
      <w:r>
        <w:rPr>
          <w:sz w:val="22"/>
          <w:szCs w:val="22"/>
        </w:rPr>
        <w:t>21</w:t>
      </w:r>
      <w:r w:rsidRPr="00175B16">
        <w:rPr>
          <w:sz w:val="22"/>
          <w:szCs w:val="22"/>
        </w:rPr>
        <w:t xml:space="preserve"> the </w:t>
      </w:r>
      <w:r>
        <w:rPr>
          <w:sz w:val="22"/>
          <w:szCs w:val="22"/>
        </w:rPr>
        <w:t>number</w:t>
      </w:r>
      <w:r w:rsidRPr="00175B16">
        <w:rPr>
          <w:sz w:val="22"/>
          <w:szCs w:val="22"/>
        </w:rPr>
        <w:t xml:space="preserve"> of low income households </w:t>
      </w:r>
      <w:r w:rsidR="000D19E9">
        <w:rPr>
          <w:sz w:val="22"/>
          <w:szCs w:val="22"/>
        </w:rPr>
        <w:t>declined</w:t>
      </w:r>
      <w:r w:rsidRPr="00175B16">
        <w:rPr>
          <w:sz w:val="22"/>
          <w:szCs w:val="22"/>
        </w:rPr>
        <w:t xml:space="preserve"> </w:t>
      </w:r>
      <w:r>
        <w:rPr>
          <w:sz w:val="22"/>
          <w:szCs w:val="22"/>
        </w:rPr>
        <w:t xml:space="preserve">in the </w:t>
      </w:r>
      <w:r w:rsidR="000D19E9">
        <w:rPr>
          <w:sz w:val="22"/>
          <w:szCs w:val="22"/>
        </w:rPr>
        <w:t>Far West</w:t>
      </w:r>
      <w:r>
        <w:rPr>
          <w:sz w:val="22"/>
          <w:szCs w:val="22"/>
        </w:rPr>
        <w:t xml:space="preserve"> region and most LGA’s except</w:t>
      </w:r>
      <w:r w:rsidR="000D19E9">
        <w:rPr>
          <w:sz w:val="22"/>
          <w:szCs w:val="22"/>
        </w:rPr>
        <w:t xml:space="preserve"> for Bourke and Wentworth</w:t>
      </w:r>
      <w:r>
        <w:rPr>
          <w:sz w:val="22"/>
          <w:szCs w:val="22"/>
        </w:rPr>
        <w:t xml:space="preserve">, which </w:t>
      </w:r>
      <w:r w:rsidR="004B3ACB">
        <w:rPr>
          <w:sz w:val="22"/>
          <w:szCs w:val="22"/>
        </w:rPr>
        <w:t>both</w:t>
      </w:r>
      <w:r>
        <w:rPr>
          <w:sz w:val="22"/>
          <w:szCs w:val="22"/>
        </w:rPr>
        <w:t xml:space="preserve"> experienced a</w:t>
      </w:r>
      <w:r w:rsidR="000D19E9">
        <w:rPr>
          <w:sz w:val="22"/>
          <w:szCs w:val="22"/>
        </w:rPr>
        <w:t>n</w:t>
      </w:r>
      <w:r>
        <w:rPr>
          <w:sz w:val="22"/>
          <w:szCs w:val="22"/>
        </w:rPr>
        <w:t xml:space="preserve"> </w:t>
      </w:r>
      <w:r w:rsidR="000D19E9">
        <w:rPr>
          <w:sz w:val="22"/>
          <w:szCs w:val="22"/>
        </w:rPr>
        <w:t>increase</w:t>
      </w:r>
      <w:r>
        <w:rPr>
          <w:sz w:val="22"/>
          <w:szCs w:val="22"/>
        </w:rPr>
        <w:t xml:space="preserve"> in the number of low income households</w:t>
      </w:r>
      <w:r w:rsidRPr="00175B16">
        <w:rPr>
          <w:sz w:val="22"/>
          <w:szCs w:val="22"/>
        </w:rPr>
        <w:t xml:space="preserve">.  </w:t>
      </w:r>
    </w:p>
    <w:p w14:paraId="29BEBA17" w14:textId="77777777" w:rsidR="00E07E15" w:rsidRDefault="00E07E15" w:rsidP="00E07E15">
      <w:pPr>
        <w:numPr>
          <w:ilvl w:val="0"/>
          <w:numId w:val="13"/>
        </w:numPr>
        <w:spacing w:before="0" w:after="0"/>
        <w:rPr>
          <w:sz w:val="22"/>
          <w:szCs w:val="22"/>
        </w:rPr>
      </w:pPr>
      <w:r>
        <w:rPr>
          <w:sz w:val="22"/>
          <w:szCs w:val="22"/>
        </w:rPr>
        <w:t xml:space="preserve">Over the same period, the number of moderate income households </w:t>
      </w:r>
      <w:r w:rsidR="004B3ACB">
        <w:rPr>
          <w:sz w:val="22"/>
          <w:szCs w:val="22"/>
        </w:rPr>
        <w:t>declined</w:t>
      </w:r>
      <w:r>
        <w:rPr>
          <w:sz w:val="22"/>
          <w:szCs w:val="22"/>
        </w:rPr>
        <w:t xml:space="preserve"> in the </w:t>
      </w:r>
      <w:r w:rsidR="004B3ACB">
        <w:rPr>
          <w:sz w:val="22"/>
          <w:szCs w:val="22"/>
        </w:rPr>
        <w:t>Far West</w:t>
      </w:r>
      <w:r>
        <w:rPr>
          <w:sz w:val="22"/>
          <w:szCs w:val="22"/>
        </w:rPr>
        <w:t xml:space="preserve"> as a whole </w:t>
      </w:r>
      <w:r w:rsidR="004B3ACB">
        <w:rPr>
          <w:sz w:val="22"/>
          <w:szCs w:val="22"/>
        </w:rPr>
        <w:t>and</w:t>
      </w:r>
      <w:r>
        <w:rPr>
          <w:sz w:val="22"/>
          <w:szCs w:val="22"/>
        </w:rPr>
        <w:t xml:space="preserve"> in most LGAs in the region – with </w:t>
      </w:r>
      <w:r w:rsidR="004B3ACB">
        <w:rPr>
          <w:sz w:val="22"/>
          <w:szCs w:val="22"/>
        </w:rPr>
        <w:t xml:space="preserve">an increase only </w:t>
      </w:r>
      <w:r>
        <w:rPr>
          <w:sz w:val="22"/>
          <w:szCs w:val="22"/>
        </w:rPr>
        <w:t>in</w:t>
      </w:r>
      <w:r w:rsidR="004B3ACB">
        <w:rPr>
          <w:sz w:val="22"/>
          <w:szCs w:val="22"/>
        </w:rPr>
        <w:t xml:space="preserve"> Broken Hill</w:t>
      </w:r>
      <w:r>
        <w:rPr>
          <w:sz w:val="22"/>
          <w:szCs w:val="22"/>
        </w:rPr>
        <w:t>.</w:t>
      </w:r>
    </w:p>
    <w:p w14:paraId="14F5CE03" w14:textId="77777777" w:rsidR="00E07E15" w:rsidRDefault="00E07E15" w:rsidP="00E07E15">
      <w:pPr>
        <w:numPr>
          <w:ilvl w:val="0"/>
          <w:numId w:val="13"/>
        </w:numPr>
        <w:spacing w:before="0" w:after="0"/>
        <w:rPr>
          <w:sz w:val="22"/>
          <w:szCs w:val="22"/>
        </w:rPr>
      </w:pPr>
      <w:r>
        <w:rPr>
          <w:sz w:val="22"/>
          <w:szCs w:val="22"/>
        </w:rPr>
        <w:lastRenderedPageBreak/>
        <w:t>The number of high income households increased overall in the region</w:t>
      </w:r>
      <w:r w:rsidR="004B3ACB">
        <w:rPr>
          <w:sz w:val="22"/>
          <w:szCs w:val="22"/>
        </w:rPr>
        <w:t xml:space="preserve"> and in Balranald, Broken Hill, Central Darling and Unincorporated NSW</w:t>
      </w:r>
      <w:r>
        <w:rPr>
          <w:sz w:val="22"/>
          <w:szCs w:val="22"/>
        </w:rPr>
        <w:t xml:space="preserve"> but declined in</w:t>
      </w:r>
      <w:r w:rsidR="004B3ACB">
        <w:rPr>
          <w:sz w:val="22"/>
          <w:szCs w:val="22"/>
        </w:rPr>
        <w:t xml:space="preserve"> Bourke, Brewarrina, Cobar, Walgett and Wentworth</w:t>
      </w:r>
      <w:r>
        <w:rPr>
          <w:sz w:val="22"/>
          <w:szCs w:val="22"/>
        </w:rPr>
        <w:t>.</w:t>
      </w:r>
    </w:p>
    <w:p w14:paraId="34ED11C5" w14:textId="77777777" w:rsidR="00E07E15" w:rsidRDefault="00E07E15" w:rsidP="00E07E15">
      <w:pPr>
        <w:pStyle w:val="ListParagraph"/>
        <w:numPr>
          <w:ilvl w:val="0"/>
          <w:numId w:val="13"/>
        </w:numPr>
        <w:spacing w:before="0" w:after="0"/>
        <w:rPr>
          <w:sz w:val="22"/>
          <w:szCs w:val="22"/>
        </w:rPr>
      </w:pPr>
      <w:r w:rsidRPr="00E07E15">
        <w:rPr>
          <w:sz w:val="22"/>
          <w:szCs w:val="22"/>
        </w:rPr>
        <w:t xml:space="preserve">The graph below shows the change in the number of low (including very low), moderate and high income households from 2016 to 2021 in the </w:t>
      </w:r>
      <w:r w:rsidR="004B3ACB">
        <w:rPr>
          <w:sz w:val="22"/>
          <w:szCs w:val="22"/>
        </w:rPr>
        <w:t>Far West</w:t>
      </w:r>
      <w:r w:rsidRPr="00E07E15">
        <w:rPr>
          <w:sz w:val="22"/>
          <w:szCs w:val="22"/>
        </w:rPr>
        <w:t xml:space="preserve"> region</w:t>
      </w:r>
      <w:r>
        <w:rPr>
          <w:sz w:val="22"/>
          <w:szCs w:val="22"/>
        </w:rPr>
        <w:t>.</w:t>
      </w:r>
    </w:p>
    <w:p w14:paraId="05CF93C1" w14:textId="77777777" w:rsidR="00E07E15" w:rsidRDefault="00E07E15" w:rsidP="00E07E15">
      <w:pPr>
        <w:spacing w:before="0" w:after="0"/>
        <w:rPr>
          <w:sz w:val="22"/>
          <w:szCs w:val="22"/>
        </w:rPr>
      </w:pPr>
    </w:p>
    <w:p w14:paraId="0763F6C8" w14:textId="77777777" w:rsidR="00E07E15" w:rsidRDefault="00E07E15" w:rsidP="00E07E15">
      <w:pPr>
        <w:spacing w:before="0" w:after="0"/>
        <w:rPr>
          <w:sz w:val="22"/>
          <w:szCs w:val="22"/>
        </w:rPr>
      </w:pPr>
    </w:p>
    <w:p w14:paraId="20FF1BD1" w14:textId="77777777" w:rsidR="00000364" w:rsidRDefault="00000364" w:rsidP="00E07E15">
      <w:pPr>
        <w:spacing w:before="0" w:after="0"/>
        <w:rPr>
          <w:sz w:val="22"/>
          <w:szCs w:val="22"/>
        </w:rPr>
      </w:pPr>
      <w:r>
        <w:rPr>
          <w:noProof/>
          <w:sz w:val="22"/>
          <w:szCs w:val="22"/>
        </w:rPr>
        <w:drawing>
          <wp:inline distT="0" distB="0" distL="0" distR="0" wp14:anchorId="594BDCC4" wp14:editId="4E612EB5">
            <wp:extent cx="5962650" cy="3279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650" cy="3279775"/>
                    </a:xfrm>
                    <a:prstGeom prst="rect">
                      <a:avLst/>
                    </a:prstGeom>
                    <a:noFill/>
                  </pic:spPr>
                </pic:pic>
              </a:graphicData>
            </a:graphic>
          </wp:inline>
        </w:drawing>
      </w:r>
    </w:p>
    <w:p w14:paraId="75DAED80" w14:textId="77777777" w:rsidR="00E07E15" w:rsidRDefault="00E07E15" w:rsidP="00E07E15">
      <w:pPr>
        <w:spacing w:before="0" w:after="0"/>
        <w:rPr>
          <w:sz w:val="22"/>
          <w:szCs w:val="22"/>
        </w:rPr>
      </w:pPr>
    </w:p>
    <w:p w14:paraId="6AD639C3" w14:textId="77777777" w:rsidR="00E07E15" w:rsidRDefault="00E07E15" w:rsidP="00E07E15">
      <w:pPr>
        <w:spacing w:before="0" w:after="0"/>
        <w:rPr>
          <w:sz w:val="22"/>
          <w:szCs w:val="22"/>
        </w:rPr>
      </w:pPr>
    </w:p>
    <w:p w14:paraId="3772EE31" w14:textId="77777777" w:rsidR="00000364" w:rsidRDefault="00000364" w:rsidP="00E07E15">
      <w:pPr>
        <w:spacing w:before="0" w:after="0"/>
        <w:rPr>
          <w:sz w:val="22"/>
          <w:szCs w:val="22"/>
        </w:rPr>
      </w:pPr>
    </w:p>
    <w:p w14:paraId="4F28AD7C" w14:textId="77777777" w:rsidR="007F484C" w:rsidRDefault="007F484C" w:rsidP="007F484C">
      <w:pPr>
        <w:numPr>
          <w:ilvl w:val="0"/>
          <w:numId w:val="27"/>
        </w:numPr>
        <w:spacing w:before="0" w:after="0"/>
        <w:ind w:left="360"/>
        <w:rPr>
          <w:sz w:val="22"/>
          <w:szCs w:val="22"/>
        </w:rPr>
      </w:pPr>
      <w:r>
        <w:rPr>
          <w:sz w:val="22"/>
          <w:szCs w:val="22"/>
        </w:rPr>
        <w:t xml:space="preserve">Along with the decline in the number of low income households between 2016 and 2021, the </w:t>
      </w:r>
      <w:r w:rsidR="006C6EB6">
        <w:rPr>
          <w:sz w:val="22"/>
          <w:szCs w:val="22"/>
        </w:rPr>
        <w:t>Far West</w:t>
      </w:r>
      <w:r w:rsidRPr="00175B16">
        <w:rPr>
          <w:sz w:val="22"/>
          <w:szCs w:val="22"/>
        </w:rPr>
        <w:t xml:space="preserve"> </w:t>
      </w:r>
      <w:r>
        <w:rPr>
          <w:sz w:val="22"/>
          <w:szCs w:val="22"/>
        </w:rPr>
        <w:t>region as a whole (-2</w:t>
      </w:r>
      <w:r w:rsidR="006C6EB6">
        <w:rPr>
          <w:sz w:val="22"/>
          <w:szCs w:val="22"/>
        </w:rPr>
        <w:t>6.9</w:t>
      </w:r>
      <w:r>
        <w:rPr>
          <w:sz w:val="22"/>
          <w:szCs w:val="22"/>
        </w:rPr>
        <w:t xml:space="preserve">%) and every </w:t>
      </w:r>
      <w:r w:rsidRPr="00175B16">
        <w:rPr>
          <w:sz w:val="22"/>
          <w:szCs w:val="22"/>
        </w:rPr>
        <w:t>LGA</w:t>
      </w:r>
      <w:r>
        <w:rPr>
          <w:sz w:val="22"/>
          <w:szCs w:val="22"/>
        </w:rPr>
        <w:t xml:space="preserve"> in the region </w:t>
      </w:r>
      <w:r w:rsidRPr="00175B16">
        <w:rPr>
          <w:sz w:val="22"/>
          <w:szCs w:val="22"/>
        </w:rPr>
        <w:t xml:space="preserve">experienced a </w:t>
      </w:r>
      <w:r>
        <w:rPr>
          <w:sz w:val="22"/>
          <w:szCs w:val="22"/>
        </w:rPr>
        <w:t>decline</w:t>
      </w:r>
      <w:r w:rsidRPr="00175B16">
        <w:rPr>
          <w:sz w:val="22"/>
          <w:szCs w:val="22"/>
        </w:rPr>
        <w:t xml:space="preserve"> in </w:t>
      </w:r>
      <w:r w:rsidRPr="00A75836">
        <w:rPr>
          <w:sz w:val="22"/>
          <w:szCs w:val="22"/>
          <w:u w:val="single"/>
        </w:rPr>
        <w:t>very low income</w:t>
      </w:r>
      <w:r w:rsidRPr="00175B16">
        <w:rPr>
          <w:sz w:val="22"/>
          <w:szCs w:val="22"/>
        </w:rPr>
        <w:t xml:space="preserve"> </w:t>
      </w:r>
      <w:r w:rsidRPr="00175B16">
        <w:rPr>
          <w:b/>
          <w:sz w:val="22"/>
          <w:szCs w:val="22"/>
        </w:rPr>
        <w:t>rental</w:t>
      </w:r>
      <w:r w:rsidRPr="00175B16">
        <w:rPr>
          <w:sz w:val="22"/>
          <w:szCs w:val="22"/>
        </w:rPr>
        <w:t xml:space="preserve"> households </w:t>
      </w:r>
      <w:r>
        <w:rPr>
          <w:sz w:val="22"/>
          <w:szCs w:val="22"/>
        </w:rPr>
        <w:t>over the same period, varying between a -</w:t>
      </w:r>
      <w:r w:rsidR="006C6EB6">
        <w:rPr>
          <w:sz w:val="22"/>
          <w:szCs w:val="22"/>
        </w:rPr>
        <w:t>100.0</w:t>
      </w:r>
      <w:r w:rsidRPr="00A75836">
        <w:rPr>
          <w:sz w:val="22"/>
          <w:szCs w:val="22"/>
        </w:rPr>
        <w:t xml:space="preserve">% decline in </w:t>
      </w:r>
      <w:r w:rsidR="006C6EB6">
        <w:rPr>
          <w:sz w:val="22"/>
          <w:szCs w:val="22"/>
        </w:rPr>
        <w:t>Brewarrina</w:t>
      </w:r>
      <w:r>
        <w:rPr>
          <w:sz w:val="22"/>
          <w:szCs w:val="22"/>
        </w:rPr>
        <w:t xml:space="preserve"> and a -</w:t>
      </w:r>
      <w:r w:rsidR="006C6EB6">
        <w:rPr>
          <w:sz w:val="22"/>
          <w:szCs w:val="22"/>
        </w:rPr>
        <w:t>16.8</w:t>
      </w:r>
      <w:r>
        <w:rPr>
          <w:sz w:val="22"/>
          <w:szCs w:val="22"/>
        </w:rPr>
        <w:t xml:space="preserve">% decline in </w:t>
      </w:r>
      <w:r w:rsidR="006C6EB6">
        <w:rPr>
          <w:sz w:val="22"/>
          <w:szCs w:val="22"/>
        </w:rPr>
        <w:t>Broken Hill</w:t>
      </w:r>
      <w:r>
        <w:rPr>
          <w:sz w:val="22"/>
          <w:szCs w:val="22"/>
        </w:rPr>
        <w:t xml:space="preserve">.  </w:t>
      </w:r>
    </w:p>
    <w:p w14:paraId="66944629" w14:textId="77777777" w:rsidR="007F484C" w:rsidRPr="002B3F5B" w:rsidRDefault="007F484C" w:rsidP="007F484C">
      <w:pPr>
        <w:numPr>
          <w:ilvl w:val="0"/>
          <w:numId w:val="27"/>
        </w:numPr>
        <w:spacing w:before="0" w:after="0"/>
        <w:ind w:left="360"/>
        <w:rPr>
          <w:sz w:val="22"/>
          <w:szCs w:val="22"/>
        </w:rPr>
      </w:pPr>
      <w:r w:rsidRPr="002B3F5B">
        <w:rPr>
          <w:sz w:val="22"/>
          <w:szCs w:val="22"/>
        </w:rPr>
        <w:t xml:space="preserve">The region as whole experienced a </w:t>
      </w:r>
      <w:r w:rsidR="006C6EB6">
        <w:rPr>
          <w:sz w:val="22"/>
          <w:szCs w:val="22"/>
        </w:rPr>
        <w:t>decline</w:t>
      </w:r>
      <w:r w:rsidRPr="002B3F5B">
        <w:rPr>
          <w:sz w:val="22"/>
          <w:szCs w:val="22"/>
        </w:rPr>
        <w:t xml:space="preserve"> in </w:t>
      </w:r>
      <w:r w:rsidRPr="002B3F5B">
        <w:rPr>
          <w:sz w:val="22"/>
          <w:szCs w:val="22"/>
          <w:u w:val="single"/>
        </w:rPr>
        <w:t>low income</w:t>
      </w:r>
      <w:r w:rsidRPr="002B3F5B">
        <w:rPr>
          <w:sz w:val="22"/>
          <w:szCs w:val="22"/>
        </w:rPr>
        <w:t xml:space="preserve"> </w:t>
      </w:r>
      <w:r w:rsidRPr="002B3F5B">
        <w:rPr>
          <w:b/>
          <w:sz w:val="22"/>
          <w:szCs w:val="22"/>
        </w:rPr>
        <w:t>rental</w:t>
      </w:r>
      <w:r w:rsidRPr="002B3F5B">
        <w:rPr>
          <w:sz w:val="22"/>
          <w:szCs w:val="22"/>
        </w:rPr>
        <w:t xml:space="preserve"> households over the same period</w:t>
      </w:r>
      <w:r w:rsidR="00024AA0">
        <w:rPr>
          <w:sz w:val="22"/>
          <w:szCs w:val="22"/>
        </w:rPr>
        <w:t xml:space="preserve"> (-4.8%)</w:t>
      </w:r>
      <w:r w:rsidRPr="002B3F5B">
        <w:rPr>
          <w:sz w:val="22"/>
          <w:szCs w:val="22"/>
        </w:rPr>
        <w:t xml:space="preserve">, with </w:t>
      </w:r>
      <w:r w:rsidR="006C6EB6">
        <w:rPr>
          <w:sz w:val="22"/>
          <w:szCs w:val="22"/>
        </w:rPr>
        <w:t>only Balranald (10.1%), Broken Hill (21.7%) and Central Darling (31.9%) seeing an increase.</w:t>
      </w:r>
      <w:r w:rsidRPr="002B3F5B">
        <w:rPr>
          <w:sz w:val="22"/>
          <w:szCs w:val="22"/>
        </w:rPr>
        <w:t xml:space="preserve">  </w:t>
      </w:r>
    </w:p>
    <w:p w14:paraId="6154841C" w14:textId="77777777" w:rsidR="00024AA0" w:rsidRDefault="007F484C" w:rsidP="00C17CE5">
      <w:pPr>
        <w:numPr>
          <w:ilvl w:val="0"/>
          <w:numId w:val="27"/>
        </w:numPr>
        <w:spacing w:before="0" w:after="0"/>
        <w:ind w:left="360"/>
        <w:rPr>
          <w:sz w:val="22"/>
          <w:szCs w:val="22"/>
        </w:rPr>
      </w:pPr>
      <w:r w:rsidRPr="00024AA0">
        <w:rPr>
          <w:sz w:val="22"/>
          <w:szCs w:val="22"/>
        </w:rPr>
        <w:t>The reduction in both very low (-</w:t>
      </w:r>
      <w:r w:rsidR="006C6EB6" w:rsidRPr="00024AA0">
        <w:rPr>
          <w:sz w:val="22"/>
          <w:szCs w:val="22"/>
        </w:rPr>
        <w:t>202</w:t>
      </w:r>
      <w:r w:rsidRPr="00024AA0">
        <w:rPr>
          <w:sz w:val="22"/>
          <w:szCs w:val="22"/>
        </w:rPr>
        <w:t>) and low income renters (</w:t>
      </w:r>
      <w:r w:rsidR="006C6EB6" w:rsidRPr="00024AA0">
        <w:rPr>
          <w:sz w:val="22"/>
          <w:szCs w:val="22"/>
        </w:rPr>
        <w:t>-</w:t>
      </w:r>
      <w:r w:rsidR="00906AB4" w:rsidRPr="00024AA0">
        <w:rPr>
          <w:sz w:val="22"/>
          <w:szCs w:val="22"/>
        </w:rPr>
        <w:t>27</w:t>
      </w:r>
      <w:r w:rsidRPr="00024AA0">
        <w:rPr>
          <w:sz w:val="22"/>
          <w:szCs w:val="22"/>
        </w:rPr>
        <w:t xml:space="preserve">) across the </w:t>
      </w:r>
      <w:r w:rsidR="00906AB4" w:rsidRPr="00024AA0">
        <w:rPr>
          <w:sz w:val="22"/>
          <w:szCs w:val="22"/>
        </w:rPr>
        <w:t>Far West</w:t>
      </w:r>
      <w:r w:rsidRPr="00024AA0">
        <w:rPr>
          <w:sz w:val="22"/>
          <w:szCs w:val="22"/>
        </w:rPr>
        <w:t xml:space="preserve"> region </w:t>
      </w:r>
      <w:r w:rsidRPr="00010F6A">
        <w:rPr>
          <w:sz w:val="22"/>
          <w:szCs w:val="22"/>
        </w:rPr>
        <w:t xml:space="preserve">is likely due to the additional Commonwealth financial assistance to renters during the pandemic – which has subsequently been discontinued, as explained in the What’s Happening in the Housing Market” snapshot for </w:t>
      </w:r>
      <w:r w:rsidR="00906AB4" w:rsidRPr="00010F6A">
        <w:rPr>
          <w:sz w:val="22"/>
          <w:szCs w:val="22"/>
        </w:rPr>
        <w:t>Far West</w:t>
      </w:r>
      <w:r w:rsidRPr="00010F6A">
        <w:rPr>
          <w:sz w:val="22"/>
          <w:szCs w:val="22"/>
        </w:rPr>
        <w:t>.</w:t>
      </w:r>
      <w:r w:rsidR="00E719C4" w:rsidRPr="00010F6A">
        <w:rPr>
          <w:sz w:val="22"/>
          <w:szCs w:val="22"/>
        </w:rPr>
        <w:t xml:space="preserve">  Part of the explanation for the loss of low income earners and lower income renters may be due to population decline in the region.</w:t>
      </w:r>
      <w:r w:rsidRPr="00024AA0">
        <w:rPr>
          <w:sz w:val="22"/>
          <w:szCs w:val="22"/>
        </w:rPr>
        <w:t xml:space="preserve">  </w:t>
      </w:r>
    </w:p>
    <w:p w14:paraId="025D11A0" w14:textId="77777777" w:rsidR="00010F6A" w:rsidRDefault="00010F6A" w:rsidP="00C17CE5">
      <w:pPr>
        <w:numPr>
          <w:ilvl w:val="0"/>
          <w:numId w:val="27"/>
        </w:numPr>
        <w:spacing w:before="0" w:after="0"/>
        <w:ind w:left="360"/>
        <w:rPr>
          <w:sz w:val="22"/>
          <w:szCs w:val="22"/>
        </w:rPr>
      </w:pPr>
      <w:r>
        <w:rPr>
          <w:sz w:val="22"/>
          <w:szCs w:val="22"/>
        </w:rPr>
        <w:t xml:space="preserve">It </w:t>
      </w:r>
      <w:r w:rsidRPr="00024AA0">
        <w:rPr>
          <w:sz w:val="22"/>
          <w:szCs w:val="22"/>
        </w:rPr>
        <w:t xml:space="preserve">underlines the need to consider tenure as well as price point when considering responses to meet housing need.  </w:t>
      </w:r>
    </w:p>
    <w:p w14:paraId="4779C65F" w14:textId="77777777" w:rsidR="007F484C" w:rsidRPr="00024AA0" w:rsidRDefault="007F484C" w:rsidP="00C17CE5">
      <w:pPr>
        <w:numPr>
          <w:ilvl w:val="0"/>
          <w:numId w:val="27"/>
        </w:numPr>
        <w:spacing w:before="0" w:after="0"/>
        <w:ind w:left="360"/>
        <w:rPr>
          <w:sz w:val="22"/>
          <w:szCs w:val="22"/>
        </w:rPr>
      </w:pPr>
      <w:r w:rsidRPr="00024AA0">
        <w:rPr>
          <w:sz w:val="22"/>
          <w:szCs w:val="22"/>
        </w:rPr>
        <w:t xml:space="preserve">The graph below shows the change in the number of very low and low income </w:t>
      </w:r>
      <w:r w:rsidRPr="00024AA0">
        <w:rPr>
          <w:b/>
          <w:sz w:val="22"/>
          <w:szCs w:val="22"/>
        </w:rPr>
        <w:t>renters</w:t>
      </w:r>
      <w:r w:rsidRPr="00024AA0">
        <w:rPr>
          <w:sz w:val="22"/>
          <w:szCs w:val="22"/>
        </w:rPr>
        <w:t xml:space="preserve"> between 2016 and 2021 in the </w:t>
      </w:r>
      <w:r w:rsidR="00B90345" w:rsidRPr="00024AA0">
        <w:rPr>
          <w:sz w:val="22"/>
          <w:szCs w:val="22"/>
        </w:rPr>
        <w:t>Far West</w:t>
      </w:r>
      <w:r w:rsidRPr="00024AA0">
        <w:rPr>
          <w:sz w:val="22"/>
          <w:szCs w:val="22"/>
        </w:rPr>
        <w:t>.</w:t>
      </w:r>
    </w:p>
    <w:p w14:paraId="25BBFA8A" w14:textId="77777777" w:rsidR="00934555" w:rsidRDefault="00934555" w:rsidP="00934555">
      <w:pPr>
        <w:spacing w:before="0" w:after="0"/>
        <w:rPr>
          <w:sz w:val="22"/>
          <w:szCs w:val="22"/>
        </w:rPr>
      </w:pPr>
    </w:p>
    <w:p w14:paraId="37874A50" w14:textId="77777777" w:rsidR="00934555" w:rsidRDefault="00934555" w:rsidP="00934555">
      <w:pPr>
        <w:spacing w:before="0" w:after="0"/>
        <w:rPr>
          <w:sz w:val="22"/>
          <w:szCs w:val="22"/>
        </w:rPr>
      </w:pPr>
    </w:p>
    <w:p w14:paraId="5C3AB228" w14:textId="77777777" w:rsidR="00934555" w:rsidRPr="00B2376F" w:rsidRDefault="00934555" w:rsidP="00934555">
      <w:pPr>
        <w:spacing w:before="0" w:after="0"/>
        <w:rPr>
          <w:sz w:val="22"/>
          <w:szCs w:val="22"/>
        </w:rPr>
      </w:pPr>
    </w:p>
    <w:p w14:paraId="52D1933A" w14:textId="77777777" w:rsidR="00000364" w:rsidRDefault="00000364" w:rsidP="00E07E15">
      <w:pPr>
        <w:spacing w:before="0" w:after="0"/>
        <w:rPr>
          <w:sz w:val="22"/>
          <w:szCs w:val="22"/>
        </w:rPr>
      </w:pPr>
    </w:p>
    <w:p w14:paraId="4D0A0B16" w14:textId="77777777" w:rsidR="007F484C" w:rsidRDefault="00934555" w:rsidP="00E07E15">
      <w:pPr>
        <w:spacing w:before="0" w:after="0"/>
        <w:rPr>
          <w:sz w:val="22"/>
          <w:szCs w:val="22"/>
        </w:rPr>
      </w:pPr>
      <w:r>
        <w:rPr>
          <w:noProof/>
          <w:sz w:val="22"/>
          <w:szCs w:val="22"/>
        </w:rPr>
        <w:drawing>
          <wp:inline distT="0" distB="0" distL="0" distR="0" wp14:anchorId="0149B7FD" wp14:editId="04241D69">
            <wp:extent cx="5588527" cy="3190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4729" cy="3194416"/>
                    </a:xfrm>
                    <a:prstGeom prst="rect">
                      <a:avLst/>
                    </a:prstGeom>
                    <a:noFill/>
                  </pic:spPr>
                </pic:pic>
              </a:graphicData>
            </a:graphic>
          </wp:inline>
        </w:drawing>
      </w:r>
    </w:p>
    <w:p w14:paraId="15581DDE" w14:textId="77777777" w:rsidR="00E07E15" w:rsidRPr="00E07E15" w:rsidRDefault="00E07E15" w:rsidP="00E07E15">
      <w:pPr>
        <w:spacing w:before="0" w:after="0"/>
        <w:rPr>
          <w:sz w:val="22"/>
          <w:szCs w:val="22"/>
        </w:rPr>
      </w:pPr>
    </w:p>
    <w:p w14:paraId="707E7D13" w14:textId="77777777" w:rsidR="00934555" w:rsidRPr="004D5A70" w:rsidRDefault="009E5598" w:rsidP="00934555">
      <w:pPr>
        <w:numPr>
          <w:ilvl w:val="0"/>
          <w:numId w:val="13"/>
        </w:numPr>
        <w:spacing w:before="0" w:after="0"/>
        <w:rPr>
          <w:sz w:val="22"/>
          <w:szCs w:val="22"/>
        </w:rPr>
      </w:pPr>
      <w:r>
        <w:rPr>
          <w:sz w:val="22"/>
          <w:szCs w:val="22"/>
        </w:rPr>
        <w:t>Bourke, Cobar and Unincorporated NSW</w:t>
      </w:r>
      <w:r w:rsidR="00934555" w:rsidRPr="004D5A70">
        <w:rPr>
          <w:sz w:val="22"/>
          <w:szCs w:val="22"/>
        </w:rPr>
        <w:t xml:space="preserve"> have a higher median household weekly income at 2021 than the Rest of NSW ($1,434)</w:t>
      </w:r>
      <w:r w:rsidR="00934555">
        <w:rPr>
          <w:sz w:val="22"/>
          <w:szCs w:val="22"/>
        </w:rPr>
        <w:t xml:space="preserve"> while the rest of the LGAs in the </w:t>
      </w:r>
      <w:r>
        <w:rPr>
          <w:sz w:val="22"/>
          <w:szCs w:val="22"/>
        </w:rPr>
        <w:t>Far West</w:t>
      </w:r>
      <w:r w:rsidR="00934555">
        <w:rPr>
          <w:sz w:val="22"/>
          <w:szCs w:val="22"/>
        </w:rPr>
        <w:t xml:space="preserve"> region have a lower median household income</w:t>
      </w:r>
      <w:r w:rsidR="00934555" w:rsidRPr="004D5A70">
        <w:rPr>
          <w:sz w:val="22"/>
          <w:szCs w:val="22"/>
        </w:rPr>
        <w:t xml:space="preserve">.  </w:t>
      </w:r>
      <w:r>
        <w:rPr>
          <w:sz w:val="22"/>
          <w:szCs w:val="22"/>
        </w:rPr>
        <w:t>Cobar</w:t>
      </w:r>
      <w:r w:rsidR="00934555" w:rsidRPr="004D5A70">
        <w:rPr>
          <w:sz w:val="22"/>
          <w:szCs w:val="22"/>
        </w:rPr>
        <w:t xml:space="preserve"> ($17</w:t>
      </w:r>
      <w:r>
        <w:rPr>
          <w:sz w:val="22"/>
          <w:szCs w:val="22"/>
        </w:rPr>
        <w:t>40</w:t>
      </w:r>
      <w:r w:rsidR="00934555" w:rsidRPr="004D5A70">
        <w:rPr>
          <w:sz w:val="22"/>
          <w:szCs w:val="22"/>
        </w:rPr>
        <w:t xml:space="preserve">) has the highest median weekly income in the region while </w:t>
      </w:r>
      <w:r>
        <w:rPr>
          <w:sz w:val="22"/>
          <w:szCs w:val="22"/>
        </w:rPr>
        <w:t>Brewarrina</w:t>
      </w:r>
      <w:r w:rsidR="00934555" w:rsidRPr="004D5A70">
        <w:rPr>
          <w:sz w:val="22"/>
          <w:szCs w:val="22"/>
        </w:rPr>
        <w:t xml:space="preserve"> has the lowest ($</w:t>
      </w:r>
      <w:r>
        <w:rPr>
          <w:sz w:val="22"/>
          <w:szCs w:val="22"/>
        </w:rPr>
        <w:t xml:space="preserve">962) closely followed by Central Darling ($988) and Walgett ($1,001) - all three </w:t>
      </w:r>
      <w:r w:rsidR="00E52E9D">
        <w:rPr>
          <w:sz w:val="22"/>
          <w:szCs w:val="22"/>
        </w:rPr>
        <w:t xml:space="preserve">are </w:t>
      </w:r>
      <w:r>
        <w:rPr>
          <w:sz w:val="22"/>
          <w:szCs w:val="22"/>
        </w:rPr>
        <w:t>well below the Rest of NSW average</w:t>
      </w:r>
      <w:r w:rsidR="00934555" w:rsidRPr="004D5A70">
        <w:rPr>
          <w:sz w:val="22"/>
          <w:szCs w:val="22"/>
        </w:rPr>
        <w:t>.</w:t>
      </w:r>
    </w:p>
    <w:p w14:paraId="3F914148" w14:textId="77777777" w:rsidR="00D3079F" w:rsidRDefault="00D3079F" w:rsidP="00934555">
      <w:pPr>
        <w:spacing w:before="0" w:after="0"/>
        <w:rPr>
          <w:sz w:val="22"/>
          <w:szCs w:val="22"/>
        </w:rPr>
      </w:pPr>
    </w:p>
    <w:p w14:paraId="428238E7" w14:textId="77777777" w:rsidR="00934555" w:rsidRDefault="00934555" w:rsidP="00934555">
      <w:pPr>
        <w:spacing w:before="0" w:after="0"/>
        <w:rPr>
          <w:sz w:val="22"/>
          <w:szCs w:val="22"/>
        </w:rPr>
      </w:pPr>
    </w:p>
    <w:p w14:paraId="18CDD647" w14:textId="77777777" w:rsidR="00934555" w:rsidRDefault="00934555" w:rsidP="00934555">
      <w:pPr>
        <w:spacing w:before="0" w:after="0"/>
        <w:rPr>
          <w:sz w:val="22"/>
          <w:szCs w:val="22"/>
        </w:rPr>
      </w:pPr>
      <w:r w:rsidRPr="00934555">
        <w:rPr>
          <w:noProof/>
        </w:rPr>
        <w:drawing>
          <wp:inline distT="0" distB="0" distL="0" distR="0" wp14:anchorId="7888F6F8" wp14:editId="39778BC7">
            <wp:extent cx="3219450" cy="2486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9450" cy="2486025"/>
                    </a:xfrm>
                    <a:prstGeom prst="rect">
                      <a:avLst/>
                    </a:prstGeom>
                    <a:noFill/>
                    <a:ln>
                      <a:noFill/>
                    </a:ln>
                  </pic:spPr>
                </pic:pic>
              </a:graphicData>
            </a:graphic>
          </wp:inline>
        </w:drawing>
      </w:r>
    </w:p>
    <w:p w14:paraId="2BA22BE6" w14:textId="77777777" w:rsidR="00D3079F" w:rsidRDefault="00D3079F" w:rsidP="00934555">
      <w:pPr>
        <w:spacing w:before="0" w:after="0"/>
        <w:ind w:left="360"/>
        <w:rPr>
          <w:sz w:val="22"/>
          <w:szCs w:val="22"/>
        </w:rPr>
      </w:pPr>
    </w:p>
    <w:p w14:paraId="077AE2B0" w14:textId="77777777" w:rsidR="00ED6184" w:rsidRPr="00C46FDA" w:rsidRDefault="00ED6184" w:rsidP="0011059C">
      <w:pPr>
        <w:rPr>
          <w:sz w:val="20"/>
          <w:szCs w:val="20"/>
        </w:rPr>
      </w:pPr>
    </w:p>
    <w:p w14:paraId="10571C08" w14:textId="77777777" w:rsidR="001A04EE" w:rsidRDefault="001A04EE" w:rsidP="00ED207A">
      <w:pPr>
        <w:spacing w:before="0" w:after="0"/>
        <w:rPr>
          <w:sz w:val="22"/>
          <w:szCs w:val="22"/>
        </w:rPr>
      </w:pPr>
    </w:p>
    <w:p w14:paraId="78DB2B2E" w14:textId="77777777" w:rsidR="00B225BD" w:rsidRDefault="00B225BD" w:rsidP="00ED207A">
      <w:pPr>
        <w:spacing w:before="0" w:after="0"/>
        <w:rPr>
          <w:sz w:val="22"/>
          <w:szCs w:val="22"/>
        </w:rPr>
      </w:pPr>
    </w:p>
    <w:p w14:paraId="0B148078" w14:textId="77777777" w:rsidR="00B225BD" w:rsidRDefault="00B225BD" w:rsidP="00ED207A">
      <w:pPr>
        <w:spacing w:before="0" w:after="0"/>
        <w:rPr>
          <w:sz w:val="22"/>
          <w:szCs w:val="22"/>
        </w:rPr>
      </w:pPr>
    </w:p>
    <w:p w14:paraId="2C913FB5" w14:textId="77777777" w:rsidR="006F4546" w:rsidRPr="003B0220" w:rsidRDefault="006F4546" w:rsidP="00555F5C">
      <w:pPr>
        <w:rPr>
          <w:sz w:val="20"/>
          <w:szCs w:val="20"/>
        </w:rPr>
      </w:pPr>
    </w:p>
    <w:p w14:paraId="5B45BA80" w14:textId="77777777" w:rsidR="00555F5C" w:rsidRPr="00364F95" w:rsidRDefault="00555F5C" w:rsidP="00555F5C">
      <w:pPr>
        <w:rPr>
          <w:b/>
          <w:color w:val="008000"/>
          <w:sz w:val="32"/>
        </w:rPr>
      </w:pPr>
      <w:r w:rsidRPr="00364F95">
        <w:rPr>
          <w:b/>
          <w:color w:val="008000"/>
          <w:sz w:val="32"/>
        </w:rPr>
        <w:t>Homelessness</w:t>
      </w:r>
    </w:p>
    <w:p w14:paraId="1D109FBC" w14:textId="77777777" w:rsidR="008E19B1" w:rsidRDefault="008E19B1" w:rsidP="008E19B1">
      <w:pPr>
        <w:pStyle w:val="ListParagraph"/>
        <w:numPr>
          <w:ilvl w:val="0"/>
          <w:numId w:val="12"/>
        </w:numPr>
        <w:rPr>
          <w:sz w:val="22"/>
          <w:szCs w:val="22"/>
        </w:rPr>
      </w:pPr>
      <w:r w:rsidRPr="00991C7A">
        <w:rPr>
          <w:sz w:val="22"/>
          <w:szCs w:val="22"/>
        </w:rPr>
        <w:t>P</w:t>
      </w:r>
      <w:r>
        <w:rPr>
          <w:sz w:val="22"/>
          <w:szCs w:val="22"/>
        </w:rPr>
        <w:t>eople experiencing homelessness</w:t>
      </w:r>
      <w:r w:rsidRPr="00991C7A">
        <w:rPr>
          <w:sz w:val="22"/>
          <w:szCs w:val="22"/>
        </w:rPr>
        <w:t xml:space="preserve"> and those at risk of homelessness are among Australia’s most socially and economically disadvantaged. </w:t>
      </w:r>
      <w:r>
        <w:rPr>
          <w:sz w:val="22"/>
          <w:szCs w:val="22"/>
        </w:rPr>
        <w:t xml:space="preserve">State, Commonwealth and some local governments </w:t>
      </w:r>
      <w:r w:rsidRPr="00991C7A">
        <w:rPr>
          <w:sz w:val="22"/>
          <w:szCs w:val="22"/>
        </w:rPr>
        <w:t xml:space="preserve">fund services to support people who are homeless, or at risk of homelessness. Services are delivered mainly by non–government organisations, </w:t>
      </w:r>
      <w:r>
        <w:rPr>
          <w:sz w:val="22"/>
          <w:szCs w:val="22"/>
        </w:rPr>
        <w:t>some of which specialise</w:t>
      </w:r>
      <w:r w:rsidRPr="00991C7A">
        <w:rPr>
          <w:sz w:val="22"/>
          <w:szCs w:val="22"/>
        </w:rPr>
        <w:t xml:space="preserve"> in delivering services to specific groups (such as young people or people experiencing domestic violence).</w:t>
      </w:r>
    </w:p>
    <w:p w14:paraId="21CCC3F8" w14:textId="77777777" w:rsidR="008E19B1" w:rsidRDefault="008E19B1" w:rsidP="008E19B1">
      <w:pPr>
        <w:pStyle w:val="ListParagraph"/>
        <w:numPr>
          <w:ilvl w:val="0"/>
          <w:numId w:val="12"/>
        </w:numPr>
        <w:spacing w:before="0" w:after="0"/>
        <w:rPr>
          <w:sz w:val="22"/>
          <w:szCs w:val="22"/>
        </w:rPr>
      </w:pPr>
      <w:r w:rsidRPr="003B04F9">
        <w:rPr>
          <w:sz w:val="22"/>
          <w:szCs w:val="22"/>
        </w:rPr>
        <w:t>Inadequate income and inability to access affordable housing are significant contributing factors to homelessness, along with individual factors such as experience of family and domestic violence, ill health and disability.</w:t>
      </w:r>
    </w:p>
    <w:p w14:paraId="4786BE4F" w14:textId="77777777" w:rsidR="000C5FFB" w:rsidRDefault="000C5FFB" w:rsidP="000C5FFB">
      <w:pPr>
        <w:pStyle w:val="ListParagraph"/>
        <w:numPr>
          <w:ilvl w:val="0"/>
          <w:numId w:val="12"/>
        </w:numPr>
        <w:rPr>
          <w:sz w:val="22"/>
          <w:szCs w:val="22"/>
        </w:rPr>
      </w:pPr>
      <w:r>
        <w:rPr>
          <w:sz w:val="22"/>
          <w:szCs w:val="22"/>
        </w:rPr>
        <w:t xml:space="preserve">The ABS identifies someone as homeless “where they do not have suitable accommodation alternatives </w:t>
      </w:r>
      <w:r w:rsidRPr="005E6C46">
        <w:rPr>
          <w:sz w:val="22"/>
          <w:szCs w:val="22"/>
        </w:rPr>
        <w:t>and their current living arrangement:</w:t>
      </w:r>
    </w:p>
    <w:p w14:paraId="173FC5E7" w14:textId="77777777" w:rsidR="000C5FFB" w:rsidRDefault="000C5FFB" w:rsidP="000C5FFB">
      <w:pPr>
        <w:pStyle w:val="ListParagraph"/>
        <w:numPr>
          <w:ilvl w:val="1"/>
          <w:numId w:val="12"/>
        </w:numPr>
        <w:rPr>
          <w:sz w:val="22"/>
          <w:szCs w:val="22"/>
        </w:rPr>
      </w:pPr>
      <w:r w:rsidRPr="005E6C46">
        <w:rPr>
          <w:sz w:val="22"/>
          <w:szCs w:val="22"/>
        </w:rPr>
        <w:t>Is in a dwelling that is inadequate;</w:t>
      </w:r>
    </w:p>
    <w:p w14:paraId="0497E34C" w14:textId="77777777" w:rsidR="000C5FFB" w:rsidRDefault="000C5FFB" w:rsidP="000C5FFB">
      <w:pPr>
        <w:pStyle w:val="ListParagraph"/>
        <w:numPr>
          <w:ilvl w:val="1"/>
          <w:numId w:val="12"/>
        </w:numPr>
        <w:rPr>
          <w:sz w:val="22"/>
          <w:szCs w:val="22"/>
        </w:rPr>
      </w:pPr>
      <w:r w:rsidRPr="005E6C46">
        <w:rPr>
          <w:sz w:val="22"/>
          <w:szCs w:val="22"/>
        </w:rPr>
        <w:t>Has no tenure or their initial tenure is short and not extendable; or</w:t>
      </w:r>
    </w:p>
    <w:p w14:paraId="51F78CD0" w14:textId="77777777" w:rsidR="000C5FFB" w:rsidRDefault="000C5FFB" w:rsidP="000C5FFB">
      <w:pPr>
        <w:pStyle w:val="ListParagraph"/>
        <w:numPr>
          <w:ilvl w:val="1"/>
          <w:numId w:val="12"/>
        </w:numPr>
        <w:rPr>
          <w:sz w:val="22"/>
          <w:szCs w:val="22"/>
        </w:rPr>
      </w:pPr>
      <w:r w:rsidRPr="005E6C46">
        <w:rPr>
          <w:sz w:val="22"/>
          <w:szCs w:val="22"/>
        </w:rPr>
        <w:t>Does not allow them to have control of and access to space for social relations.”</w:t>
      </w:r>
    </w:p>
    <w:p w14:paraId="20E1D5DD" w14:textId="77777777" w:rsidR="000C5FFB" w:rsidRPr="005E6C46" w:rsidRDefault="000C5FFB" w:rsidP="000C5FFB">
      <w:pPr>
        <w:pStyle w:val="ListParagraph"/>
        <w:numPr>
          <w:ilvl w:val="0"/>
          <w:numId w:val="12"/>
        </w:numPr>
        <w:rPr>
          <w:sz w:val="22"/>
          <w:szCs w:val="22"/>
        </w:rPr>
      </w:pPr>
      <w:r w:rsidRPr="005E6C46">
        <w:rPr>
          <w:sz w:val="22"/>
          <w:szCs w:val="22"/>
        </w:rPr>
        <w:t>The ABS uses “six operational groups for presenting estimates of people experiencing homelessness on Census night:</w:t>
      </w:r>
    </w:p>
    <w:p w14:paraId="12D65202" w14:textId="77777777" w:rsidR="000C5FFB" w:rsidRDefault="000C5FFB" w:rsidP="000C5FFB">
      <w:pPr>
        <w:pStyle w:val="ListParagraph"/>
        <w:numPr>
          <w:ilvl w:val="1"/>
          <w:numId w:val="12"/>
        </w:numPr>
        <w:rPr>
          <w:sz w:val="22"/>
          <w:szCs w:val="22"/>
        </w:rPr>
      </w:pPr>
      <w:r>
        <w:rPr>
          <w:sz w:val="22"/>
          <w:szCs w:val="22"/>
        </w:rPr>
        <w:t>People living in improvised dwellings, tents or sleeping out</w:t>
      </w:r>
    </w:p>
    <w:p w14:paraId="4314DE95" w14:textId="77777777" w:rsidR="000C5FFB" w:rsidRDefault="000C5FFB" w:rsidP="000C5FFB">
      <w:pPr>
        <w:pStyle w:val="ListParagraph"/>
        <w:numPr>
          <w:ilvl w:val="1"/>
          <w:numId w:val="12"/>
        </w:numPr>
        <w:rPr>
          <w:sz w:val="22"/>
          <w:szCs w:val="22"/>
        </w:rPr>
      </w:pPr>
      <w:r>
        <w:rPr>
          <w:sz w:val="22"/>
          <w:szCs w:val="22"/>
        </w:rPr>
        <w:t>People living in supported accommodation for the homeless</w:t>
      </w:r>
    </w:p>
    <w:p w14:paraId="12ABDB64" w14:textId="77777777" w:rsidR="000C5FFB" w:rsidRDefault="000C5FFB" w:rsidP="000C5FFB">
      <w:pPr>
        <w:pStyle w:val="ListParagraph"/>
        <w:numPr>
          <w:ilvl w:val="1"/>
          <w:numId w:val="12"/>
        </w:numPr>
        <w:rPr>
          <w:sz w:val="22"/>
          <w:szCs w:val="22"/>
        </w:rPr>
      </w:pPr>
      <w:r>
        <w:rPr>
          <w:sz w:val="22"/>
          <w:szCs w:val="22"/>
        </w:rPr>
        <w:t>People staying temporarily with other households</w:t>
      </w:r>
    </w:p>
    <w:p w14:paraId="660C35F6" w14:textId="77777777" w:rsidR="000C5FFB" w:rsidRDefault="000C5FFB" w:rsidP="000C5FFB">
      <w:pPr>
        <w:pStyle w:val="ListParagraph"/>
        <w:numPr>
          <w:ilvl w:val="1"/>
          <w:numId w:val="12"/>
        </w:numPr>
        <w:rPr>
          <w:sz w:val="22"/>
          <w:szCs w:val="22"/>
        </w:rPr>
      </w:pPr>
      <w:r>
        <w:rPr>
          <w:sz w:val="22"/>
          <w:szCs w:val="22"/>
        </w:rPr>
        <w:t>People living in boarding houses</w:t>
      </w:r>
    </w:p>
    <w:p w14:paraId="7D7F05C4" w14:textId="77777777" w:rsidR="000C5FFB" w:rsidRDefault="000C5FFB" w:rsidP="000C5FFB">
      <w:pPr>
        <w:pStyle w:val="ListParagraph"/>
        <w:numPr>
          <w:ilvl w:val="1"/>
          <w:numId w:val="12"/>
        </w:numPr>
        <w:rPr>
          <w:sz w:val="22"/>
          <w:szCs w:val="22"/>
        </w:rPr>
      </w:pPr>
      <w:r>
        <w:rPr>
          <w:sz w:val="22"/>
          <w:szCs w:val="22"/>
        </w:rPr>
        <w:t>People in other temporary lodgings</w:t>
      </w:r>
    </w:p>
    <w:p w14:paraId="0D0D2385" w14:textId="77777777" w:rsidR="000C5FFB" w:rsidRDefault="000C5FFB" w:rsidP="000C5FFB">
      <w:pPr>
        <w:pStyle w:val="ListParagraph"/>
        <w:numPr>
          <w:ilvl w:val="1"/>
          <w:numId w:val="12"/>
        </w:numPr>
        <w:rPr>
          <w:sz w:val="22"/>
          <w:szCs w:val="22"/>
        </w:rPr>
      </w:pPr>
      <w:r>
        <w:rPr>
          <w:sz w:val="22"/>
          <w:szCs w:val="22"/>
        </w:rPr>
        <w:t>People living in ‘severely’ overcrowded dwellings.”</w:t>
      </w:r>
    </w:p>
    <w:p w14:paraId="4C186DC6" w14:textId="77777777" w:rsidR="000C5FFB" w:rsidRDefault="000C5FFB" w:rsidP="000C5FFB">
      <w:pPr>
        <w:pStyle w:val="ListParagraph"/>
        <w:numPr>
          <w:ilvl w:val="0"/>
          <w:numId w:val="12"/>
        </w:numPr>
        <w:rPr>
          <w:sz w:val="22"/>
          <w:szCs w:val="22"/>
        </w:rPr>
      </w:pPr>
      <w:r>
        <w:rPr>
          <w:sz w:val="22"/>
          <w:szCs w:val="22"/>
        </w:rPr>
        <w:t>The ABS “also compiles estimates from Census data for the following three groups of people who may be marginally housed but are not classified as homeless:</w:t>
      </w:r>
    </w:p>
    <w:p w14:paraId="60381134" w14:textId="77777777" w:rsidR="000C5FFB" w:rsidRDefault="000C5FFB" w:rsidP="000C5FFB">
      <w:pPr>
        <w:pStyle w:val="ListParagraph"/>
        <w:numPr>
          <w:ilvl w:val="1"/>
          <w:numId w:val="12"/>
        </w:numPr>
        <w:rPr>
          <w:sz w:val="22"/>
          <w:szCs w:val="22"/>
        </w:rPr>
      </w:pPr>
      <w:r>
        <w:rPr>
          <w:sz w:val="22"/>
          <w:szCs w:val="22"/>
        </w:rPr>
        <w:t>People living in other crowded dwellings</w:t>
      </w:r>
    </w:p>
    <w:p w14:paraId="61F8F4A5" w14:textId="77777777" w:rsidR="000C5FFB" w:rsidRDefault="000C5FFB" w:rsidP="000C5FFB">
      <w:pPr>
        <w:pStyle w:val="ListParagraph"/>
        <w:numPr>
          <w:ilvl w:val="1"/>
          <w:numId w:val="12"/>
        </w:numPr>
        <w:rPr>
          <w:sz w:val="22"/>
          <w:szCs w:val="22"/>
        </w:rPr>
      </w:pPr>
      <w:r>
        <w:rPr>
          <w:sz w:val="22"/>
          <w:szCs w:val="22"/>
        </w:rPr>
        <w:t>People in other improvised dwellings</w:t>
      </w:r>
    </w:p>
    <w:p w14:paraId="26CE4857" w14:textId="77777777" w:rsidR="000C5FFB" w:rsidRDefault="000C5FFB" w:rsidP="000C5FFB">
      <w:pPr>
        <w:pStyle w:val="ListParagraph"/>
        <w:numPr>
          <w:ilvl w:val="1"/>
          <w:numId w:val="12"/>
        </w:numPr>
        <w:rPr>
          <w:sz w:val="22"/>
          <w:szCs w:val="22"/>
        </w:rPr>
      </w:pPr>
      <w:r>
        <w:rPr>
          <w:sz w:val="22"/>
          <w:szCs w:val="22"/>
        </w:rPr>
        <w:t>People marginally housed in caravan parks.”</w:t>
      </w:r>
    </w:p>
    <w:p w14:paraId="52BA08BF" w14:textId="77777777" w:rsidR="000C5FFB" w:rsidRDefault="000C5FFB" w:rsidP="000C5FFB">
      <w:pPr>
        <w:pStyle w:val="ListParagraph"/>
        <w:numPr>
          <w:ilvl w:val="0"/>
          <w:numId w:val="12"/>
        </w:numPr>
        <w:rPr>
          <w:sz w:val="22"/>
          <w:szCs w:val="22"/>
        </w:rPr>
      </w:pPr>
      <w:r w:rsidRPr="00937307">
        <w:rPr>
          <w:sz w:val="22"/>
          <w:szCs w:val="22"/>
        </w:rPr>
        <w:t xml:space="preserve">The table below shows that ABS 2021 Census data for the Central Coast on the homeless and marginally housed.  </w:t>
      </w:r>
    </w:p>
    <w:p w14:paraId="45EE6ABE" w14:textId="77777777" w:rsidR="000C5FFB" w:rsidRDefault="000C5FFB" w:rsidP="000C5FFB">
      <w:pPr>
        <w:pStyle w:val="ListParagraph"/>
        <w:numPr>
          <w:ilvl w:val="0"/>
          <w:numId w:val="12"/>
        </w:numPr>
        <w:rPr>
          <w:sz w:val="22"/>
          <w:szCs w:val="22"/>
        </w:rPr>
      </w:pPr>
      <w:r w:rsidRPr="00937307">
        <w:rPr>
          <w:sz w:val="22"/>
          <w:szCs w:val="22"/>
        </w:rPr>
        <w:t>Note that due to additional assistance provided during the pandemic, the number of people counted as homeless on Census night in 2021 is lower than at the 2016 Census.</w:t>
      </w:r>
      <w:r w:rsidR="00F969F1">
        <w:rPr>
          <w:sz w:val="22"/>
          <w:szCs w:val="22"/>
        </w:rPr>
        <w:t xml:space="preserve">   Nevertheless there were 258 people counted as homeless at the 2021 Census in the Far West and a further 353 counted as marginally housed.</w:t>
      </w:r>
    </w:p>
    <w:p w14:paraId="6681CF51" w14:textId="77777777" w:rsidR="00F969F1" w:rsidRDefault="000B5AA5" w:rsidP="000C5FFB">
      <w:pPr>
        <w:pStyle w:val="ListParagraph"/>
        <w:numPr>
          <w:ilvl w:val="0"/>
          <w:numId w:val="12"/>
        </w:numPr>
        <w:rPr>
          <w:sz w:val="22"/>
          <w:szCs w:val="22"/>
        </w:rPr>
      </w:pPr>
      <w:r>
        <w:rPr>
          <w:sz w:val="22"/>
          <w:szCs w:val="22"/>
        </w:rPr>
        <w:t>Of those counted as homeless, the largest number (107 or 41.5%) were people living in improvised dwellings, camping or sleeping out.  Almost all of these were in Walgett local government area.  The next largest group were people staying temporarily with other households (49 or 19.0%), followed by people living in severely overcrowded dwellings (48 or 18.6%).</w:t>
      </w:r>
    </w:p>
    <w:p w14:paraId="1CFB3D88" w14:textId="77777777" w:rsidR="000B5AA5" w:rsidRDefault="000B5AA5" w:rsidP="000C5FFB">
      <w:pPr>
        <w:pStyle w:val="ListParagraph"/>
        <w:numPr>
          <w:ilvl w:val="0"/>
          <w:numId w:val="12"/>
        </w:numPr>
        <w:rPr>
          <w:sz w:val="22"/>
          <w:szCs w:val="22"/>
        </w:rPr>
      </w:pPr>
      <w:r>
        <w:rPr>
          <w:sz w:val="22"/>
          <w:szCs w:val="22"/>
        </w:rPr>
        <w:t>Of those counted as marginally housed, the majority were people living in other improvised dwellings (226 or 59.0%).</w:t>
      </w:r>
    </w:p>
    <w:p w14:paraId="6D743B7B" w14:textId="77777777" w:rsidR="000B5AA5" w:rsidRPr="00937307" w:rsidRDefault="00D06262" w:rsidP="000C5FFB">
      <w:pPr>
        <w:pStyle w:val="ListParagraph"/>
        <w:numPr>
          <w:ilvl w:val="0"/>
          <w:numId w:val="12"/>
        </w:numPr>
        <w:rPr>
          <w:sz w:val="22"/>
          <w:szCs w:val="22"/>
        </w:rPr>
      </w:pPr>
      <w:r>
        <w:rPr>
          <w:sz w:val="22"/>
          <w:szCs w:val="22"/>
        </w:rPr>
        <w:lastRenderedPageBreak/>
        <w:t>This suggests there is insufficient affordable and adequate housing to meet local needs.</w:t>
      </w:r>
    </w:p>
    <w:p w14:paraId="1F1ADCEA" w14:textId="77777777" w:rsidR="000C5FFB" w:rsidRDefault="000C5FFB" w:rsidP="000C5FFB">
      <w:pPr>
        <w:spacing w:before="0" w:after="0"/>
        <w:rPr>
          <w:sz w:val="22"/>
          <w:szCs w:val="22"/>
        </w:rPr>
      </w:pPr>
    </w:p>
    <w:p w14:paraId="6499C0F7" w14:textId="77777777" w:rsidR="000C5FFB" w:rsidRPr="000C5FFB" w:rsidRDefault="000C5FFB" w:rsidP="000C5FFB">
      <w:pPr>
        <w:spacing w:before="0" w:after="0"/>
        <w:rPr>
          <w:sz w:val="22"/>
          <w:szCs w:val="22"/>
        </w:rPr>
      </w:pPr>
      <w:r w:rsidRPr="000C5FFB">
        <w:rPr>
          <w:noProof/>
        </w:rPr>
        <w:drawing>
          <wp:inline distT="0" distB="0" distL="0" distR="0" wp14:anchorId="3A3A194D" wp14:editId="61E967CD">
            <wp:extent cx="6089299" cy="24479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9460" cy="2452010"/>
                    </a:xfrm>
                    <a:prstGeom prst="rect">
                      <a:avLst/>
                    </a:prstGeom>
                    <a:noFill/>
                    <a:ln>
                      <a:noFill/>
                    </a:ln>
                  </pic:spPr>
                </pic:pic>
              </a:graphicData>
            </a:graphic>
          </wp:inline>
        </w:drawing>
      </w:r>
    </w:p>
    <w:p w14:paraId="798CBA44" w14:textId="77777777" w:rsidR="00A40E27" w:rsidRDefault="00A40E27" w:rsidP="000C5FFB">
      <w:pPr>
        <w:spacing w:before="0" w:after="0"/>
        <w:rPr>
          <w:sz w:val="22"/>
          <w:szCs w:val="22"/>
        </w:rPr>
      </w:pPr>
    </w:p>
    <w:p w14:paraId="26D2AA2E" w14:textId="77777777" w:rsidR="00591F7A" w:rsidRPr="00B17805" w:rsidRDefault="00591F7A" w:rsidP="00591F7A">
      <w:pPr>
        <w:pStyle w:val="ListParagraph"/>
        <w:numPr>
          <w:ilvl w:val="0"/>
          <w:numId w:val="25"/>
        </w:numPr>
        <w:spacing w:before="0" w:after="0"/>
        <w:rPr>
          <w:sz w:val="22"/>
          <w:szCs w:val="22"/>
        </w:rPr>
      </w:pPr>
      <w:r w:rsidRPr="00B17805">
        <w:rPr>
          <w:sz w:val="22"/>
          <w:szCs w:val="22"/>
        </w:rPr>
        <w:t>The 202</w:t>
      </w:r>
      <w:r>
        <w:rPr>
          <w:sz w:val="22"/>
          <w:szCs w:val="22"/>
        </w:rPr>
        <w:t>3</w:t>
      </w:r>
      <w:r w:rsidRPr="00B17805">
        <w:rPr>
          <w:sz w:val="22"/>
          <w:szCs w:val="22"/>
        </w:rPr>
        <w:t xml:space="preserve"> NSW street count, the NSW Government’s </w:t>
      </w:r>
      <w:r>
        <w:rPr>
          <w:sz w:val="22"/>
          <w:szCs w:val="22"/>
        </w:rPr>
        <w:t>fourth</w:t>
      </w:r>
      <w:r w:rsidRPr="00B17805">
        <w:rPr>
          <w:sz w:val="22"/>
          <w:szCs w:val="22"/>
        </w:rPr>
        <w:t xml:space="preserve"> annual rough sleeping street count, was completed between </w:t>
      </w:r>
      <w:r>
        <w:rPr>
          <w:sz w:val="22"/>
          <w:szCs w:val="22"/>
        </w:rPr>
        <w:t>2</w:t>
      </w:r>
      <w:r w:rsidRPr="00B17805">
        <w:rPr>
          <w:sz w:val="22"/>
          <w:szCs w:val="22"/>
        </w:rPr>
        <w:t xml:space="preserve"> February and 2</w:t>
      </w:r>
      <w:r>
        <w:rPr>
          <w:sz w:val="22"/>
          <w:szCs w:val="22"/>
        </w:rPr>
        <w:t>7</w:t>
      </w:r>
      <w:r w:rsidRPr="00B17805">
        <w:rPr>
          <w:sz w:val="22"/>
          <w:szCs w:val="22"/>
        </w:rPr>
        <w:t xml:space="preserve"> February 202</w:t>
      </w:r>
      <w:r>
        <w:rPr>
          <w:sz w:val="22"/>
          <w:szCs w:val="22"/>
        </w:rPr>
        <w:t>3</w:t>
      </w:r>
      <w:r w:rsidRPr="00B17805">
        <w:rPr>
          <w:sz w:val="22"/>
          <w:szCs w:val="22"/>
        </w:rPr>
        <w:t xml:space="preserve">. </w:t>
      </w:r>
    </w:p>
    <w:p w14:paraId="7AD77AB4" w14:textId="77777777" w:rsidR="00591F7A" w:rsidRPr="00C8457E" w:rsidRDefault="00591F7A" w:rsidP="00591F7A">
      <w:pPr>
        <w:pStyle w:val="ListParagraph"/>
        <w:numPr>
          <w:ilvl w:val="0"/>
          <w:numId w:val="25"/>
        </w:numPr>
        <w:spacing w:before="0" w:after="0"/>
        <w:rPr>
          <w:sz w:val="22"/>
          <w:szCs w:val="22"/>
        </w:rPr>
      </w:pPr>
      <w:r>
        <w:rPr>
          <w:sz w:val="22"/>
          <w:szCs w:val="22"/>
        </w:rPr>
        <w:t>Over 300</w:t>
      </w:r>
      <w:r w:rsidRPr="00B17805">
        <w:rPr>
          <w:sz w:val="22"/>
          <w:szCs w:val="22"/>
        </w:rPr>
        <w:t xml:space="preserve"> local organisations </w:t>
      </w:r>
      <w:r w:rsidRPr="00D750A7">
        <w:rPr>
          <w:sz w:val="22"/>
          <w:szCs w:val="22"/>
        </w:rPr>
        <w:t>either consulted in the planning phase or participated in the delivery of street counts</w:t>
      </w:r>
      <w:r>
        <w:rPr>
          <w:sz w:val="22"/>
          <w:szCs w:val="22"/>
        </w:rPr>
        <w:t xml:space="preserve">.  Organisations which </w:t>
      </w:r>
      <w:r w:rsidRPr="00B17805">
        <w:rPr>
          <w:sz w:val="22"/>
          <w:szCs w:val="22"/>
        </w:rPr>
        <w:t>partnered with the Department of Communities and Justice (DCJ)</w:t>
      </w:r>
      <w:r>
        <w:rPr>
          <w:sz w:val="22"/>
          <w:szCs w:val="22"/>
        </w:rPr>
        <w:t xml:space="preserve"> </w:t>
      </w:r>
      <w:r w:rsidRPr="00D750A7">
        <w:rPr>
          <w:sz w:val="22"/>
          <w:szCs w:val="22"/>
        </w:rPr>
        <w:t>included Community Housing Providers, local councils and Specialist Homelessness Services, as well Aboriginal organisations, Local Health Districts, local community groups, and Police</w:t>
      </w:r>
      <w:r>
        <w:rPr>
          <w:sz w:val="22"/>
          <w:szCs w:val="22"/>
        </w:rPr>
        <w:t>.</w:t>
      </w:r>
    </w:p>
    <w:p w14:paraId="378B3CFC" w14:textId="77777777" w:rsidR="00591F7A" w:rsidRDefault="00591F7A" w:rsidP="00591F7A">
      <w:pPr>
        <w:pStyle w:val="ListParagraph"/>
        <w:numPr>
          <w:ilvl w:val="0"/>
          <w:numId w:val="25"/>
        </w:numPr>
        <w:spacing w:before="0" w:after="0"/>
        <w:rPr>
          <w:sz w:val="22"/>
          <w:szCs w:val="22"/>
        </w:rPr>
      </w:pPr>
      <w:r w:rsidRPr="00B17805">
        <w:rPr>
          <w:sz w:val="22"/>
          <w:szCs w:val="22"/>
        </w:rPr>
        <w:t>1,</w:t>
      </w:r>
      <w:r>
        <w:rPr>
          <w:sz w:val="22"/>
          <w:szCs w:val="22"/>
        </w:rPr>
        <w:t>623</w:t>
      </w:r>
      <w:r w:rsidRPr="00B17805">
        <w:rPr>
          <w:sz w:val="22"/>
          <w:szCs w:val="22"/>
        </w:rPr>
        <w:t xml:space="preserve"> people were counted sleeping rough during these street count</w:t>
      </w:r>
      <w:r>
        <w:rPr>
          <w:sz w:val="22"/>
          <w:szCs w:val="22"/>
        </w:rPr>
        <w:t>s, a 34% increase from 2022.</w:t>
      </w:r>
      <w:r w:rsidRPr="00B17805">
        <w:rPr>
          <w:sz w:val="22"/>
          <w:szCs w:val="22"/>
        </w:rPr>
        <w:t xml:space="preserve"> </w:t>
      </w:r>
    </w:p>
    <w:p w14:paraId="73AF511B" w14:textId="77777777" w:rsidR="00591F7A" w:rsidRPr="00D123CB" w:rsidRDefault="00591F7A" w:rsidP="00591F7A">
      <w:pPr>
        <w:pStyle w:val="ListParagraph"/>
        <w:numPr>
          <w:ilvl w:val="0"/>
          <w:numId w:val="25"/>
        </w:numPr>
        <w:spacing w:before="0" w:after="0"/>
        <w:rPr>
          <w:sz w:val="22"/>
          <w:szCs w:val="22"/>
        </w:rPr>
      </w:pPr>
      <w:r w:rsidRPr="00B17805">
        <w:rPr>
          <w:sz w:val="22"/>
          <w:szCs w:val="22"/>
        </w:rPr>
        <w:t xml:space="preserve">Street counts took place in </w:t>
      </w:r>
      <w:r>
        <w:rPr>
          <w:sz w:val="22"/>
          <w:szCs w:val="22"/>
        </w:rPr>
        <w:t xml:space="preserve">more than 350 towns in </w:t>
      </w:r>
      <w:r w:rsidRPr="00B17805">
        <w:rPr>
          <w:sz w:val="22"/>
          <w:szCs w:val="22"/>
        </w:rPr>
        <w:t>76 LGAs, compared to 71 LGAs in 2021 and 65 LGAs in 2020</w:t>
      </w:r>
      <w:r>
        <w:rPr>
          <w:sz w:val="22"/>
          <w:szCs w:val="22"/>
        </w:rPr>
        <w:t>.</w:t>
      </w:r>
    </w:p>
    <w:p w14:paraId="27C7768A" w14:textId="77777777" w:rsidR="0092646E" w:rsidRDefault="0092646E" w:rsidP="0092646E">
      <w:pPr>
        <w:pStyle w:val="ListParagraph"/>
        <w:numPr>
          <w:ilvl w:val="0"/>
          <w:numId w:val="25"/>
        </w:numPr>
        <w:spacing w:before="0" w:after="0"/>
        <w:rPr>
          <w:sz w:val="22"/>
          <w:szCs w:val="22"/>
        </w:rPr>
      </w:pPr>
      <w:r>
        <w:rPr>
          <w:sz w:val="22"/>
          <w:szCs w:val="22"/>
        </w:rPr>
        <w:t>The table below gives the street count results for the Far West locations.</w:t>
      </w:r>
    </w:p>
    <w:p w14:paraId="2A1B5E2E" w14:textId="77777777" w:rsidR="00147626" w:rsidRDefault="00147626" w:rsidP="00FE67A5">
      <w:pPr>
        <w:spacing w:before="0" w:after="0"/>
        <w:rPr>
          <w:sz w:val="22"/>
          <w:szCs w:val="22"/>
        </w:rPr>
      </w:pPr>
    </w:p>
    <w:p w14:paraId="76F8E093" w14:textId="77777777" w:rsidR="00FE67A5" w:rsidRDefault="00FE67A5" w:rsidP="0092646E">
      <w:pPr>
        <w:spacing w:before="0" w:after="0"/>
        <w:ind w:left="360"/>
        <w:rPr>
          <w:sz w:val="22"/>
          <w:szCs w:val="22"/>
        </w:rPr>
      </w:pPr>
    </w:p>
    <w:p w14:paraId="44CC6DC0" w14:textId="77777777" w:rsidR="00FE67A5" w:rsidRDefault="00575CBA" w:rsidP="00575CBA">
      <w:pPr>
        <w:spacing w:before="0" w:after="0"/>
        <w:rPr>
          <w:sz w:val="22"/>
          <w:szCs w:val="22"/>
        </w:rPr>
      </w:pPr>
      <w:r w:rsidRPr="00575CBA">
        <w:rPr>
          <w:noProof/>
        </w:rPr>
        <w:drawing>
          <wp:inline distT="0" distB="0" distL="0" distR="0" wp14:anchorId="52401297" wp14:editId="7F161301">
            <wp:extent cx="5274310" cy="758732"/>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758732"/>
                    </a:xfrm>
                    <a:prstGeom prst="rect">
                      <a:avLst/>
                    </a:prstGeom>
                    <a:noFill/>
                    <a:ln>
                      <a:noFill/>
                    </a:ln>
                  </pic:spPr>
                </pic:pic>
              </a:graphicData>
            </a:graphic>
          </wp:inline>
        </w:drawing>
      </w:r>
    </w:p>
    <w:p w14:paraId="719B2C73" w14:textId="77777777" w:rsidR="0092646E" w:rsidRDefault="0092646E" w:rsidP="0092646E">
      <w:pPr>
        <w:spacing w:before="0" w:after="0"/>
        <w:ind w:left="360"/>
        <w:rPr>
          <w:sz w:val="22"/>
          <w:szCs w:val="22"/>
        </w:rPr>
      </w:pPr>
    </w:p>
    <w:p w14:paraId="69051F7A" w14:textId="77777777" w:rsidR="0092646E" w:rsidRDefault="0092646E" w:rsidP="0092646E">
      <w:pPr>
        <w:spacing w:before="0" w:after="0"/>
        <w:ind w:left="360"/>
        <w:rPr>
          <w:sz w:val="22"/>
          <w:szCs w:val="22"/>
        </w:rPr>
      </w:pPr>
    </w:p>
    <w:p w14:paraId="04957426" w14:textId="77777777" w:rsidR="0092646E" w:rsidRPr="006F4546" w:rsidRDefault="0092646E" w:rsidP="0092646E">
      <w:pPr>
        <w:spacing w:before="0" w:after="0"/>
        <w:ind w:left="360"/>
        <w:rPr>
          <w:sz w:val="22"/>
          <w:szCs w:val="22"/>
        </w:rPr>
      </w:pPr>
    </w:p>
    <w:p w14:paraId="74958DB3" w14:textId="77777777" w:rsidR="00F653D2" w:rsidRDefault="00F653D2" w:rsidP="00F653D2">
      <w:pPr>
        <w:pStyle w:val="Heading2"/>
        <w:rPr>
          <w:b w:val="0"/>
        </w:rPr>
      </w:pPr>
      <w:r>
        <w:t>People with Disability</w:t>
      </w:r>
    </w:p>
    <w:p w14:paraId="2869F933" w14:textId="77777777" w:rsidR="00F653D2" w:rsidRDefault="00F653D2" w:rsidP="00F653D2">
      <w:pPr>
        <w:pStyle w:val="ListParagraph"/>
        <w:numPr>
          <w:ilvl w:val="0"/>
          <w:numId w:val="28"/>
        </w:numPr>
        <w:rPr>
          <w:sz w:val="22"/>
          <w:szCs w:val="22"/>
        </w:rPr>
      </w:pPr>
      <w:r w:rsidRPr="008632AE">
        <w:rPr>
          <w:sz w:val="22"/>
          <w:szCs w:val="22"/>
        </w:rPr>
        <w:t>According to the Australian Institute of Health and Welfare (AIHW)</w:t>
      </w:r>
      <w:r>
        <w:rPr>
          <w:sz w:val="22"/>
          <w:szCs w:val="22"/>
        </w:rPr>
        <w:t xml:space="preserve"> and data from the 2018 Australian Bureau of Statistics (ABS) Survey of Disability,</w:t>
      </w:r>
      <w:r w:rsidRPr="008632AE">
        <w:rPr>
          <w:sz w:val="22"/>
          <w:szCs w:val="22"/>
        </w:rPr>
        <w:t xml:space="preserve"> 18% of people in Australia have disability.  Another </w:t>
      </w:r>
      <w:r>
        <w:rPr>
          <w:sz w:val="22"/>
          <w:szCs w:val="22"/>
        </w:rPr>
        <w:t xml:space="preserve">22% have a long term health condition but not disability.  </w:t>
      </w:r>
    </w:p>
    <w:p w14:paraId="0489E608" w14:textId="77777777" w:rsidR="00F653D2" w:rsidRDefault="00F653D2" w:rsidP="00F653D2">
      <w:pPr>
        <w:pStyle w:val="ListParagraph"/>
        <w:numPr>
          <w:ilvl w:val="0"/>
          <w:numId w:val="28"/>
        </w:numPr>
        <w:rPr>
          <w:sz w:val="22"/>
          <w:szCs w:val="22"/>
        </w:rPr>
      </w:pPr>
      <w:r>
        <w:rPr>
          <w:sz w:val="22"/>
          <w:szCs w:val="22"/>
        </w:rPr>
        <w:lastRenderedPageBreak/>
        <w:t xml:space="preserve">Nearly one third (32%) of people with disability have severe or profound disability.  </w:t>
      </w:r>
      <w:r w:rsidRPr="004029DC">
        <w:rPr>
          <w:sz w:val="22"/>
          <w:szCs w:val="22"/>
        </w:rPr>
        <w:t>This means needing help with daily self-care, mobility or communication activities, having difficulty understanding or being understood by family or friends, or communicating more easily using sign language or other non-spoken forms of communication</w:t>
      </w:r>
      <w:r>
        <w:rPr>
          <w:sz w:val="22"/>
          <w:szCs w:val="22"/>
        </w:rPr>
        <w:t>.</w:t>
      </w:r>
    </w:p>
    <w:p w14:paraId="394A85D7" w14:textId="77777777" w:rsidR="00F653D2" w:rsidRDefault="00F653D2" w:rsidP="00F653D2">
      <w:pPr>
        <w:pStyle w:val="ListParagraph"/>
        <w:numPr>
          <w:ilvl w:val="0"/>
          <w:numId w:val="28"/>
        </w:numPr>
        <w:rPr>
          <w:sz w:val="22"/>
          <w:szCs w:val="22"/>
        </w:rPr>
      </w:pPr>
      <w:r>
        <w:rPr>
          <w:sz w:val="22"/>
          <w:szCs w:val="22"/>
        </w:rPr>
        <w:t>The survey data shows:</w:t>
      </w:r>
    </w:p>
    <w:p w14:paraId="7AFD6723" w14:textId="77777777" w:rsidR="00F653D2" w:rsidRPr="004029DC" w:rsidRDefault="00F653D2" w:rsidP="00F653D2">
      <w:pPr>
        <w:pStyle w:val="ListParagraph"/>
        <w:numPr>
          <w:ilvl w:val="1"/>
          <w:numId w:val="28"/>
        </w:numPr>
        <w:rPr>
          <w:sz w:val="22"/>
          <w:szCs w:val="22"/>
        </w:rPr>
      </w:pPr>
      <w:r w:rsidRPr="004029DC">
        <w:rPr>
          <w:sz w:val="22"/>
          <w:szCs w:val="22"/>
        </w:rPr>
        <w:t>7.6% of children aged 0–14 have disability</w:t>
      </w:r>
    </w:p>
    <w:p w14:paraId="666AA857" w14:textId="77777777" w:rsidR="00F653D2" w:rsidRPr="004029DC" w:rsidRDefault="00F653D2" w:rsidP="00F653D2">
      <w:pPr>
        <w:pStyle w:val="ListParagraph"/>
        <w:numPr>
          <w:ilvl w:val="1"/>
          <w:numId w:val="28"/>
        </w:numPr>
        <w:rPr>
          <w:sz w:val="22"/>
          <w:szCs w:val="22"/>
        </w:rPr>
      </w:pPr>
      <w:r w:rsidRPr="004029DC">
        <w:rPr>
          <w:sz w:val="22"/>
          <w:szCs w:val="22"/>
        </w:rPr>
        <w:t>9.3% of people aged 15–24 have disability</w:t>
      </w:r>
    </w:p>
    <w:p w14:paraId="24C910E9" w14:textId="77777777" w:rsidR="00F653D2" w:rsidRPr="004029DC" w:rsidRDefault="00F653D2" w:rsidP="00F653D2">
      <w:pPr>
        <w:pStyle w:val="ListParagraph"/>
        <w:numPr>
          <w:ilvl w:val="1"/>
          <w:numId w:val="28"/>
        </w:numPr>
        <w:rPr>
          <w:sz w:val="22"/>
          <w:szCs w:val="22"/>
        </w:rPr>
      </w:pPr>
      <w:r w:rsidRPr="004029DC">
        <w:rPr>
          <w:sz w:val="22"/>
          <w:szCs w:val="22"/>
        </w:rPr>
        <w:t>13% of people aged 15–64 have disability</w:t>
      </w:r>
    </w:p>
    <w:p w14:paraId="509A856C" w14:textId="77777777" w:rsidR="00F653D2" w:rsidRDefault="00F653D2" w:rsidP="00F653D2">
      <w:pPr>
        <w:pStyle w:val="ListParagraph"/>
        <w:numPr>
          <w:ilvl w:val="1"/>
          <w:numId w:val="28"/>
        </w:numPr>
        <w:rPr>
          <w:sz w:val="22"/>
          <w:szCs w:val="22"/>
        </w:rPr>
      </w:pPr>
      <w:r w:rsidRPr="004029DC">
        <w:rPr>
          <w:sz w:val="22"/>
          <w:szCs w:val="22"/>
        </w:rPr>
        <w:t>50% of people aged 65 and over have disability (ABS 2019b).</w:t>
      </w:r>
    </w:p>
    <w:p w14:paraId="52FD64B6" w14:textId="77777777" w:rsidR="00F653D2" w:rsidRDefault="00F653D2" w:rsidP="00F653D2">
      <w:pPr>
        <w:pStyle w:val="ListParagraph"/>
        <w:numPr>
          <w:ilvl w:val="0"/>
          <w:numId w:val="28"/>
        </w:numPr>
        <w:rPr>
          <w:sz w:val="22"/>
          <w:szCs w:val="22"/>
        </w:rPr>
      </w:pPr>
      <w:r w:rsidRPr="00815E64">
        <w:rPr>
          <w:sz w:val="22"/>
          <w:szCs w:val="22"/>
        </w:rPr>
        <w:t>For about 3 in 4 (77%) people with disability, the main type of disability is physical, while for the remaining 1 in 4 (23%), the main type of disability is mental or behavioural.</w:t>
      </w:r>
    </w:p>
    <w:p w14:paraId="5E0D8A35" w14:textId="77777777" w:rsidR="00F653D2" w:rsidRDefault="00F653D2" w:rsidP="00F653D2">
      <w:pPr>
        <w:pStyle w:val="ListParagraph"/>
        <w:numPr>
          <w:ilvl w:val="0"/>
          <w:numId w:val="28"/>
        </w:numPr>
        <w:rPr>
          <w:sz w:val="22"/>
          <w:szCs w:val="22"/>
        </w:rPr>
      </w:pPr>
      <w:r w:rsidRPr="006B44CA">
        <w:rPr>
          <w:sz w:val="22"/>
          <w:szCs w:val="22"/>
        </w:rPr>
        <w:t xml:space="preserve">Clearly housing is a significant factor in the health and wellbeing of people with disability. The availability of affordable, sustainable and appropriate housing helps people with disability to participate in the social, economic and community aspects of everyday life. </w:t>
      </w:r>
      <w:r>
        <w:rPr>
          <w:sz w:val="22"/>
          <w:szCs w:val="22"/>
        </w:rPr>
        <w:t>Someone without</w:t>
      </w:r>
      <w:r w:rsidRPr="006B44CA">
        <w:rPr>
          <w:sz w:val="22"/>
          <w:szCs w:val="22"/>
        </w:rPr>
        <w:t xml:space="preserve"> access to affordable, secure and appropriate housing </w:t>
      </w:r>
      <w:r>
        <w:rPr>
          <w:sz w:val="22"/>
          <w:szCs w:val="22"/>
        </w:rPr>
        <w:t xml:space="preserve">is more likely to </w:t>
      </w:r>
      <w:r w:rsidRPr="006B44CA">
        <w:rPr>
          <w:sz w:val="22"/>
          <w:szCs w:val="22"/>
        </w:rPr>
        <w:t>experience homelessness, poor health, and lower rates of employment and education</w:t>
      </w:r>
      <w:r>
        <w:rPr>
          <w:sz w:val="22"/>
          <w:szCs w:val="22"/>
        </w:rPr>
        <w:t>.</w:t>
      </w:r>
    </w:p>
    <w:p w14:paraId="487C0944" w14:textId="77777777" w:rsidR="00F653D2" w:rsidRDefault="00F653D2" w:rsidP="00F653D2">
      <w:pPr>
        <w:pStyle w:val="ListParagraph"/>
        <w:numPr>
          <w:ilvl w:val="0"/>
          <w:numId w:val="28"/>
        </w:numPr>
        <w:rPr>
          <w:sz w:val="22"/>
          <w:szCs w:val="22"/>
        </w:rPr>
      </w:pPr>
      <w:r w:rsidRPr="006B44CA">
        <w:rPr>
          <w:sz w:val="22"/>
          <w:szCs w:val="22"/>
        </w:rPr>
        <w:t>While most people with disability live at home in the community (</w:t>
      </w:r>
      <w:r>
        <w:rPr>
          <w:sz w:val="22"/>
          <w:szCs w:val="22"/>
        </w:rPr>
        <w:t xml:space="preserve">96% </w:t>
      </w:r>
      <w:r w:rsidRPr="006B44CA">
        <w:rPr>
          <w:sz w:val="22"/>
          <w:szCs w:val="22"/>
        </w:rPr>
        <w:t>in private dwellings), some live in cared accommodation.</w:t>
      </w:r>
    </w:p>
    <w:p w14:paraId="597C52C3" w14:textId="77777777" w:rsidR="00F653D2" w:rsidRDefault="00F653D2" w:rsidP="00F653D2">
      <w:pPr>
        <w:pStyle w:val="ListParagraph"/>
        <w:numPr>
          <w:ilvl w:val="0"/>
          <w:numId w:val="28"/>
        </w:numPr>
        <w:rPr>
          <w:sz w:val="22"/>
          <w:szCs w:val="22"/>
        </w:rPr>
      </w:pPr>
      <w:r w:rsidRPr="006B44CA">
        <w:rPr>
          <w:sz w:val="22"/>
          <w:szCs w:val="22"/>
        </w:rPr>
        <w:t>Cared accommodation is usually long term and may be institutional in style</w:t>
      </w:r>
      <w:r>
        <w:rPr>
          <w:sz w:val="22"/>
          <w:szCs w:val="22"/>
        </w:rPr>
        <w:t xml:space="preserve">, including </w:t>
      </w:r>
      <w:r w:rsidRPr="006B44CA">
        <w:rPr>
          <w:sz w:val="22"/>
          <w:szCs w:val="22"/>
        </w:rPr>
        <w:t>hospitals, residential aged care, care</w:t>
      </w:r>
      <w:r>
        <w:rPr>
          <w:sz w:val="22"/>
          <w:szCs w:val="22"/>
        </w:rPr>
        <w:t>d</w:t>
      </w:r>
      <w:r w:rsidRPr="006B44CA">
        <w:rPr>
          <w:sz w:val="22"/>
          <w:szCs w:val="22"/>
        </w:rPr>
        <w:t xml:space="preserve"> components of retirement villages, aged care ho</w:t>
      </w:r>
      <w:r>
        <w:rPr>
          <w:sz w:val="22"/>
          <w:szCs w:val="22"/>
        </w:rPr>
        <w:t>stels, psychiatric institutions and</w:t>
      </w:r>
      <w:r w:rsidRPr="006B44CA">
        <w:rPr>
          <w:sz w:val="22"/>
          <w:szCs w:val="22"/>
        </w:rPr>
        <w:t xml:space="preserve"> </w:t>
      </w:r>
      <w:r>
        <w:rPr>
          <w:sz w:val="22"/>
          <w:szCs w:val="22"/>
        </w:rPr>
        <w:t>group homes for people with disability</w:t>
      </w:r>
      <w:r w:rsidRPr="006B44CA">
        <w:rPr>
          <w:sz w:val="22"/>
          <w:szCs w:val="22"/>
        </w:rPr>
        <w:t>.</w:t>
      </w:r>
      <w:r>
        <w:rPr>
          <w:sz w:val="22"/>
          <w:szCs w:val="22"/>
        </w:rPr>
        <w:t xml:space="preserve">  </w:t>
      </w:r>
      <w:r w:rsidRPr="00815E64">
        <w:rPr>
          <w:sz w:val="22"/>
          <w:szCs w:val="22"/>
        </w:rPr>
        <w:t>The more severe a person’s disability is, the more likely they are to live in cared accommodation and the less likely they are to live in the community</w:t>
      </w:r>
      <w:r>
        <w:rPr>
          <w:sz w:val="22"/>
          <w:szCs w:val="22"/>
        </w:rPr>
        <w:t>.</w:t>
      </w:r>
    </w:p>
    <w:p w14:paraId="117FF39C" w14:textId="77777777" w:rsidR="00F653D2" w:rsidRDefault="00F653D2" w:rsidP="00F653D2">
      <w:pPr>
        <w:pStyle w:val="ListParagraph"/>
        <w:numPr>
          <w:ilvl w:val="0"/>
          <w:numId w:val="28"/>
        </w:numPr>
        <w:rPr>
          <w:b/>
          <w:sz w:val="20"/>
          <w:szCs w:val="20"/>
        </w:rPr>
      </w:pPr>
      <w:r>
        <w:rPr>
          <w:sz w:val="22"/>
          <w:szCs w:val="22"/>
        </w:rPr>
        <w:t xml:space="preserve">There has been </w:t>
      </w:r>
      <w:r w:rsidRPr="00CC61A7">
        <w:rPr>
          <w:sz w:val="22"/>
          <w:szCs w:val="22"/>
        </w:rPr>
        <w:t xml:space="preserve">a </w:t>
      </w:r>
      <w:r>
        <w:rPr>
          <w:sz w:val="22"/>
          <w:szCs w:val="22"/>
        </w:rPr>
        <w:t>significant</w:t>
      </w:r>
      <w:r w:rsidRPr="00CC61A7">
        <w:rPr>
          <w:sz w:val="22"/>
          <w:szCs w:val="22"/>
        </w:rPr>
        <w:t xml:space="preserve"> shift towards supporting people with disability to live in private dwellings</w:t>
      </w:r>
      <w:r>
        <w:rPr>
          <w:sz w:val="22"/>
          <w:szCs w:val="22"/>
        </w:rPr>
        <w:t>, rather than being in institutional care over recent decades</w:t>
      </w:r>
      <w:r w:rsidRPr="00CC61A7">
        <w:rPr>
          <w:sz w:val="22"/>
          <w:szCs w:val="22"/>
        </w:rPr>
        <w:t xml:space="preserve">. </w:t>
      </w:r>
      <w:r>
        <w:rPr>
          <w:sz w:val="22"/>
          <w:szCs w:val="22"/>
        </w:rPr>
        <w:t>Largely this has</w:t>
      </w:r>
      <w:r w:rsidRPr="00CC61A7">
        <w:rPr>
          <w:sz w:val="22"/>
          <w:szCs w:val="22"/>
        </w:rPr>
        <w:t xml:space="preserve"> been driven by changes for young people with disability. </w:t>
      </w:r>
    </w:p>
    <w:p w14:paraId="74B1694E" w14:textId="77777777" w:rsidR="00F653D2" w:rsidRPr="006F4546" w:rsidRDefault="00F653D2" w:rsidP="00F653D2">
      <w:pPr>
        <w:spacing w:before="0" w:after="0"/>
        <w:rPr>
          <w:sz w:val="22"/>
          <w:szCs w:val="22"/>
        </w:rPr>
      </w:pPr>
    </w:p>
    <w:p w14:paraId="5521DA08" w14:textId="77777777" w:rsidR="00F653D2" w:rsidRDefault="00F653D2" w:rsidP="00F653D2">
      <w:pPr>
        <w:rPr>
          <w:b/>
          <w:color w:val="008000"/>
          <w:sz w:val="32"/>
        </w:rPr>
      </w:pPr>
    </w:p>
    <w:p w14:paraId="0EB65920" w14:textId="77777777" w:rsidR="00555F5C" w:rsidRDefault="00555F5C" w:rsidP="00555F5C">
      <w:pPr>
        <w:rPr>
          <w:b/>
          <w:color w:val="008000"/>
          <w:sz w:val="32"/>
        </w:rPr>
      </w:pPr>
      <w:r w:rsidRPr="001C58F3">
        <w:rPr>
          <w:b/>
          <w:color w:val="008000"/>
          <w:sz w:val="32"/>
        </w:rPr>
        <w:t>A</w:t>
      </w:r>
      <w:r>
        <w:rPr>
          <w:b/>
          <w:color w:val="008000"/>
          <w:sz w:val="32"/>
        </w:rPr>
        <w:t>dditional Data</w:t>
      </w:r>
    </w:p>
    <w:p w14:paraId="0485C98A" w14:textId="77777777" w:rsidR="00673429" w:rsidRPr="00175B16" w:rsidRDefault="00673429" w:rsidP="00673429">
      <w:pPr>
        <w:rPr>
          <w:sz w:val="22"/>
          <w:szCs w:val="22"/>
        </w:rPr>
      </w:pPr>
      <w:r w:rsidRPr="00175B16">
        <w:rPr>
          <w:sz w:val="22"/>
          <w:szCs w:val="22"/>
        </w:rPr>
        <w:t xml:space="preserve">More detailed housing data and tables used in this Snapshot are available from the Local Government Housing Kit Database on the FACS website at: </w:t>
      </w:r>
    </w:p>
    <w:p w14:paraId="1B916D5B" w14:textId="77777777" w:rsidR="00673429" w:rsidRDefault="00371427" w:rsidP="00673429">
      <w:pPr>
        <w:rPr>
          <w:rStyle w:val="Hyperlink"/>
          <w:sz w:val="22"/>
          <w:szCs w:val="22"/>
        </w:rPr>
      </w:pPr>
      <w:hyperlink r:id="rId21" w:history="1">
        <w:r w:rsidR="00673429" w:rsidRPr="00175B16">
          <w:rPr>
            <w:rStyle w:val="Hyperlink"/>
            <w:sz w:val="22"/>
            <w:szCs w:val="22"/>
          </w:rPr>
          <w:t>https://www.facs.nsw.gov.au/resources/nsw-local-government-housing-kit/chapters/local-government-housing-kit-database</w:t>
        </w:r>
      </w:hyperlink>
    </w:p>
    <w:p w14:paraId="351CF4B5" w14:textId="77777777" w:rsidR="00673429" w:rsidRDefault="00673429" w:rsidP="00673429">
      <w:pPr>
        <w:rPr>
          <w:rStyle w:val="Hyperlink"/>
          <w:color w:val="auto"/>
          <w:sz w:val="22"/>
          <w:szCs w:val="22"/>
          <w:u w:val="none"/>
        </w:rPr>
      </w:pPr>
      <w:r>
        <w:rPr>
          <w:rStyle w:val="Hyperlink"/>
          <w:color w:val="auto"/>
          <w:sz w:val="22"/>
          <w:szCs w:val="22"/>
          <w:u w:val="none"/>
        </w:rPr>
        <w:t>The Australian Institute of Health and Welfare – Older Australians Housing and Living Arrangements on the AIHW website at:</w:t>
      </w:r>
    </w:p>
    <w:p w14:paraId="32E48385" w14:textId="77777777" w:rsidR="00673429" w:rsidRDefault="00371427" w:rsidP="00673429">
      <w:pPr>
        <w:rPr>
          <w:rStyle w:val="Hyperlink"/>
          <w:sz w:val="22"/>
          <w:szCs w:val="22"/>
        </w:rPr>
      </w:pPr>
      <w:hyperlink r:id="rId22" w:history="1">
        <w:r w:rsidR="00673429" w:rsidRPr="00E22625">
          <w:rPr>
            <w:rStyle w:val="Hyperlink"/>
            <w:sz w:val="22"/>
            <w:szCs w:val="22"/>
          </w:rPr>
          <w:t>https://www.aihw.gov.au/reports/older-people/older-australians/contents/housing-and-living-arrangements</w:t>
        </w:r>
      </w:hyperlink>
    </w:p>
    <w:p w14:paraId="03964EE6" w14:textId="77777777" w:rsidR="004A2757" w:rsidRPr="004A2757" w:rsidRDefault="004A2757" w:rsidP="004A2757">
      <w:pPr>
        <w:spacing w:before="0" w:after="0"/>
        <w:rPr>
          <w:sz w:val="22"/>
          <w:szCs w:val="22"/>
        </w:rPr>
      </w:pPr>
      <w:r w:rsidRPr="004A2757">
        <w:rPr>
          <w:sz w:val="22"/>
          <w:szCs w:val="22"/>
        </w:rPr>
        <w:t>AIHW Aged care for indigenous Australians</w:t>
      </w:r>
    </w:p>
    <w:p w14:paraId="385D8F45" w14:textId="77777777" w:rsidR="004A2757" w:rsidRDefault="00371427" w:rsidP="004A2757">
      <w:hyperlink r:id="rId23" w:history="1">
        <w:r w:rsidR="004A2757" w:rsidRPr="000D29B5">
          <w:rPr>
            <w:rStyle w:val="Hyperlink"/>
          </w:rPr>
          <w:t>https://www.aihw.gov.au/reports/australias-welfare/aged-care-for-indigenous-australians</w:t>
        </w:r>
      </w:hyperlink>
    </w:p>
    <w:p w14:paraId="784E0901" w14:textId="77777777" w:rsidR="00673429" w:rsidRPr="004029DC" w:rsidRDefault="00673429" w:rsidP="004A2757">
      <w:pPr>
        <w:rPr>
          <w:rStyle w:val="Hyperlink"/>
          <w:color w:val="auto"/>
          <w:sz w:val="22"/>
          <w:szCs w:val="22"/>
          <w:u w:val="none"/>
        </w:rPr>
      </w:pPr>
      <w:r>
        <w:rPr>
          <w:rStyle w:val="Hyperlink"/>
          <w:color w:val="auto"/>
          <w:sz w:val="22"/>
          <w:szCs w:val="22"/>
          <w:u w:val="none"/>
        </w:rPr>
        <w:lastRenderedPageBreak/>
        <w:t>The Australian Institute of Health and Welfare – People with Disability in Australia</w:t>
      </w:r>
    </w:p>
    <w:p w14:paraId="64BC5B61" w14:textId="77777777" w:rsidR="00673429" w:rsidRDefault="00371427" w:rsidP="00673429">
      <w:pPr>
        <w:rPr>
          <w:sz w:val="22"/>
          <w:szCs w:val="22"/>
        </w:rPr>
      </w:pPr>
      <w:hyperlink r:id="rId24" w:history="1">
        <w:r w:rsidR="00673429" w:rsidRPr="00755D0F">
          <w:rPr>
            <w:rStyle w:val="Hyperlink"/>
            <w:sz w:val="22"/>
            <w:szCs w:val="22"/>
          </w:rPr>
          <w:t>https://www.aihw.gov.au/reports/disability/people-with-disability-in-australia/contents/people-with-disability/prevalence-of-disability</w:t>
        </w:r>
      </w:hyperlink>
    </w:p>
    <w:p w14:paraId="290A875C" w14:textId="77777777" w:rsidR="00673429" w:rsidRDefault="00673429" w:rsidP="00673429">
      <w:pPr>
        <w:rPr>
          <w:sz w:val="22"/>
          <w:szCs w:val="22"/>
        </w:rPr>
      </w:pPr>
      <w:r>
        <w:rPr>
          <w:sz w:val="22"/>
          <w:szCs w:val="22"/>
        </w:rPr>
        <w:t>and relating to housing needs</w:t>
      </w:r>
    </w:p>
    <w:p w14:paraId="13F79636" w14:textId="77777777" w:rsidR="00673429" w:rsidRDefault="00371427" w:rsidP="00673429">
      <w:pPr>
        <w:rPr>
          <w:sz w:val="22"/>
          <w:szCs w:val="22"/>
        </w:rPr>
      </w:pPr>
      <w:hyperlink r:id="rId25" w:history="1">
        <w:r w:rsidR="00673429" w:rsidRPr="00755D0F">
          <w:rPr>
            <w:rStyle w:val="Hyperlink"/>
            <w:sz w:val="22"/>
            <w:szCs w:val="22"/>
          </w:rPr>
          <w:t>https://www.aihw.gov.au/reports/disability/people-with-disability-in-australia/contents/housing</w:t>
        </w:r>
      </w:hyperlink>
    </w:p>
    <w:p w14:paraId="1C4A5B87" w14:textId="77777777" w:rsidR="00673429" w:rsidRPr="00175B16" w:rsidRDefault="00673429" w:rsidP="00673429">
      <w:pPr>
        <w:rPr>
          <w:sz w:val="22"/>
          <w:szCs w:val="22"/>
        </w:rPr>
      </w:pPr>
      <w:r w:rsidRPr="00175B16">
        <w:rPr>
          <w:sz w:val="22"/>
          <w:szCs w:val="22"/>
        </w:rPr>
        <w:t>The Productivity Commission’s report Housing Decisions of Older Australians is at:</w:t>
      </w:r>
    </w:p>
    <w:p w14:paraId="6BA60F93" w14:textId="77777777" w:rsidR="00673429" w:rsidRPr="00175B16" w:rsidRDefault="00371427" w:rsidP="00673429">
      <w:pPr>
        <w:rPr>
          <w:sz w:val="22"/>
          <w:szCs w:val="22"/>
        </w:rPr>
      </w:pPr>
      <w:hyperlink r:id="rId26" w:history="1">
        <w:r w:rsidR="00673429" w:rsidRPr="00175B16">
          <w:rPr>
            <w:rStyle w:val="Hyperlink"/>
            <w:sz w:val="22"/>
            <w:szCs w:val="22"/>
          </w:rPr>
          <w:t>https://www.pc.gov.au/research/completed/housing-decisions-older-australians</w:t>
        </w:r>
      </w:hyperlink>
    </w:p>
    <w:p w14:paraId="5CB069D2" w14:textId="77777777" w:rsidR="00673429" w:rsidRPr="00175B16" w:rsidRDefault="00673429" w:rsidP="00673429">
      <w:pPr>
        <w:rPr>
          <w:sz w:val="22"/>
          <w:szCs w:val="22"/>
        </w:rPr>
      </w:pPr>
    </w:p>
    <w:p w14:paraId="76D87B05" w14:textId="77777777" w:rsidR="00673429" w:rsidRDefault="00673429" w:rsidP="00673429">
      <w:pPr>
        <w:rPr>
          <w:sz w:val="22"/>
          <w:szCs w:val="22"/>
        </w:rPr>
      </w:pPr>
      <w:r w:rsidRPr="00175B16">
        <w:rPr>
          <w:sz w:val="22"/>
          <w:szCs w:val="22"/>
        </w:rPr>
        <w:t xml:space="preserve">More detailed information on population, household and dwelling projections is available on the Department of Planning and Environment website at: </w:t>
      </w:r>
    </w:p>
    <w:p w14:paraId="69F477EF" w14:textId="77777777" w:rsidR="00673429" w:rsidRPr="007A567E" w:rsidRDefault="00371427" w:rsidP="00673429">
      <w:pPr>
        <w:rPr>
          <w:rFonts w:cs="Arial"/>
          <w:color w:val="1F497D"/>
          <w:sz w:val="22"/>
          <w:szCs w:val="22"/>
          <w:lang w:eastAsia="en-US"/>
        </w:rPr>
      </w:pPr>
      <w:hyperlink r:id="rId27" w:history="1">
        <w:r w:rsidR="00673429" w:rsidRPr="007A567E">
          <w:rPr>
            <w:rStyle w:val="Hyperlink"/>
            <w:rFonts w:cs="Arial"/>
            <w:sz w:val="22"/>
            <w:szCs w:val="22"/>
            <w:lang w:eastAsia="en-US"/>
          </w:rPr>
          <w:t>https://www.planning.nsw.gov.au/Research-and-Demography/Population-Projections/Projections</w:t>
        </w:r>
      </w:hyperlink>
    </w:p>
    <w:p w14:paraId="62A9F53F" w14:textId="77777777" w:rsidR="00673429" w:rsidRPr="007A567E" w:rsidRDefault="00371427" w:rsidP="00673429">
      <w:pPr>
        <w:rPr>
          <w:rFonts w:cs="Arial"/>
          <w:color w:val="1F497D"/>
          <w:sz w:val="22"/>
          <w:szCs w:val="22"/>
          <w:lang w:eastAsia="en-US"/>
        </w:rPr>
      </w:pPr>
      <w:hyperlink r:id="rId28" w:history="1">
        <w:r w:rsidR="00673429" w:rsidRPr="007A567E">
          <w:rPr>
            <w:rStyle w:val="Hyperlink"/>
            <w:rFonts w:cs="Arial"/>
            <w:sz w:val="22"/>
            <w:szCs w:val="22"/>
            <w:lang w:eastAsia="en-US"/>
          </w:rPr>
          <w:t>https://pp.planningportal.nsw.gov.au/populations</w:t>
        </w:r>
      </w:hyperlink>
    </w:p>
    <w:p w14:paraId="2D326188" w14:textId="77777777" w:rsidR="00673429" w:rsidRPr="00175B16" w:rsidRDefault="00673429" w:rsidP="00673429">
      <w:pPr>
        <w:rPr>
          <w:sz w:val="22"/>
          <w:szCs w:val="22"/>
        </w:rPr>
      </w:pPr>
    </w:p>
    <w:p w14:paraId="00D46A9D" w14:textId="77777777" w:rsidR="00673429" w:rsidRDefault="00673429" w:rsidP="00673429">
      <w:pPr>
        <w:rPr>
          <w:sz w:val="22"/>
          <w:szCs w:val="22"/>
        </w:rPr>
      </w:pPr>
      <w:r w:rsidRPr="00175B16">
        <w:rPr>
          <w:sz w:val="22"/>
          <w:szCs w:val="22"/>
        </w:rPr>
        <w:t>More data on homelessness</w:t>
      </w:r>
      <w:r>
        <w:rPr>
          <w:sz w:val="22"/>
          <w:szCs w:val="22"/>
        </w:rPr>
        <w:t>, specifically homelessness service data</w:t>
      </w:r>
      <w:r w:rsidRPr="00175B16">
        <w:rPr>
          <w:sz w:val="22"/>
          <w:szCs w:val="22"/>
        </w:rPr>
        <w:t xml:space="preserve"> is available on the Homelessness NSW website at:   </w:t>
      </w:r>
    </w:p>
    <w:p w14:paraId="700AB218" w14:textId="77777777" w:rsidR="00673429" w:rsidRDefault="00371427" w:rsidP="00673429">
      <w:pPr>
        <w:rPr>
          <w:sz w:val="22"/>
          <w:szCs w:val="22"/>
        </w:rPr>
      </w:pPr>
      <w:hyperlink r:id="rId29" w:history="1">
        <w:r w:rsidR="00673429" w:rsidRPr="00374406">
          <w:rPr>
            <w:rStyle w:val="Hyperlink"/>
            <w:sz w:val="22"/>
            <w:szCs w:val="22"/>
          </w:rPr>
          <w:t>https://homelessnessnsw.org.au/resource/specialist-homelessness-service-data/</w:t>
        </w:r>
      </w:hyperlink>
    </w:p>
    <w:p w14:paraId="655F313D" w14:textId="77777777" w:rsidR="00673429" w:rsidRDefault="00673429" w:rsidP="00673429">
      <w:pPr>
        <w:rPr>
          <w:sz w:val="22"/>
          <w:szCs w:val="22"/>
        </w:rPr>
      </w:pPr>
      <w:r>
        <w:rPr>
          <w:sz w:val="22"/>
          <w:szCs w:val="22"/>
        </w:rPr>
        <w:t>And from the AIHW website here:</w:t>
      </w:r>
    </w:p>
    <w:p w14:paraId="0FF0D38B" w14:textId="77777777" w:rsidR="00673429" w:rsidRDefault="00371427" w:rsidP="00673429">
      <w:pPr>
        <w:rPr>
          <w:sz w:val="22"/>
          <w:szCs w:val="22"/>
        </w:rPr>
      </w:pPr>
      <w:hyperlink r:id="rId30" w:history="1">
        <w:r w:rsidR="00673429" w:rsidRPr="00374406">
          <w:rPr>
            <w:rStyle w:val="Hyperlink"/>
            <w:sz w:val="22"/>
            <w:szCs w:val="22"/>
          </w:rPr>
          <w:t>https://www.aihw.gov.au/reports/australias-welfare/homelessness-and-homelessness-services</w:t>
        </w:r>
      </w:hyperlink>
    </w:p>
    <w:p w14:paraId="24F041EE" w14:textId="77777777" w:rsidR="00673429" w:rsidRDefault="00673429" w:rsidP="00673429">
      <w:pPr>
        <w:rPr>
          <w:sz w:val="22"/>
          <w:szCs w:val="22"/>
        </w:rPr>
      </w:pPr>
      <w:r>
        <w:rPr>
          <w:sz w:val="22"/>
          <w:szCs w:val="22"/>
        </w:rPr>
        <w:t>The 2022 Street Count result is at the FACS website here:</w:t>
      </w:r>
    </w:p>
    <w:p w14:paraId="301E1769" w14:textId="77777777" w:rsidR="00673429" w:rsidRDefault="00371427" w:rsidP="00673429">
      <w:pPr>
        <w:rPr>
          <w:sz w:val="22"/>
          <w:szCs w:val="22"/>
        </w:rPr>
      </w:pPr>
      <w:hyperlink r:id="rId31" w:history="1">
        <w:r w:rsidR="00673429" w:rsidRPr="00374406">
          <w:rPr>
            <w:rStyle w:val="Hyperlink"/>
            <w:sz w:val="22"/>
            <w:szCs w:val="22"/>
          </w:rPr>
          <w:t>https://www.facs.nsw.gov.au/reforms/homelessness/premiers-priority-to-reduce-street-homelessness/street-count</w:t>
        </w:r>
      </w:hyperlink>
    </w:p>
    <w:p w14:paraId="0D74E9B8" w14:textId="77777777" w:rsidR="00277096" w:rsidRDefault="00277096" w:rsidP="00277096">
      <w:pPr>
        <w:rPr>
          <w:sz w:val="22"/>
          <w:szCs w:val="22"/>
        </w:rPr>
      </w:pPr>
      <w:r>
        <w:rPr>
          <w:sz w:val="22"/>
          <w:szCs w:val="22"/>
        </w:rPr>
        <w:t>Further information on ABS estimation of homelessness is available at the ABS website:</w:t>
      </w:r>
    </w:p>
    <w:p w14:paraId="5936F1C3" w14:textId="77777777" w:rsidR="00277096" w:rsidRDefault="00371427" w:rsidP="00277096">
      <w:pPr>
        <w:rPr>
          <w:sz w:val="22"/>
          <w:szCs w:val="22"/>
        </w:rPr>
      </w:pPr>
      <w:hyperlink r:id="rId32" w:history="1">
        <w:r w:rsidR="00277096" w:rsidRPr="009911ED">
          <w:rPr>
            <w:rStyle w:val="Hyperlink"/>
            <w:sz w:val="22"/>
            <w:szCs w:val="22"/>
          </w:rPr>
          <w:t>https://www.abs.gov.au/statistics/people/housing/estimating-homelessness-census/2021</w:t>
        </w:r>
      </w:hyperlink>
    </w:p>
    <w:p w14:paraId="2BE5AF57" w14:textId="77777777" w:rsidR="00707DF4" w:rsidRPr="00673429" w:rsidRDefault="00707DF4" w:rsidP="00707DF4">
      <w:pPr>
        <w:rPr>
          <w:sz w:val="22"/>
          <w:szCs w:val="22"/>
          <w:highlight w:val="yellow"/>
        </w:rPr>
      </w:pPr>
    </w:p>
    <w:p w14:paraId="25846CDB" w14:textId="77777777" w:rsidR="00996B47" w:rsidRPr="00673429" w:rsidRDefault="00996B47" w:rsidP="00555F5C">
      <w:pPr>
        <w:rPr>
          <w:highlight w:val="yellow"/>
        </w:rPr>
      </w:pPr>
    </w:p>
    <w:p w14:paraId="6450D5A3" w14:textId="77777777" w:rsidR="004A2757" w:rsidRDefault="004A2757" w:rsidP="00555F5C"/>
    <w:p w14:paraId="0C20C461" w14:textId="77777777" w:rsidR="007C4032" w:rsidRDefault="007C4032" w:rsidP="00555F5C"/>
    <w:p w14:paraId="601A81DF" w14:textId="77777777" w:rsidR="004A1978" w:rsidRPr="00555F5C" w:rsidRDefault="004A1978" w:rsidP="00555F5C"/>
    <w:sectPr w:rsidR="004A1978" w:rsidRPr="00555F5C" w:rsidSect="00BB657B">
      <w:headerReference w:type="default" r:id="rId33"/>
      <w:footerReference w:type="default" r:id="rId34"/>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4121" w14:textId="77777777" w:rsidR="00D2036D" w:rsidRDefault="00D2036D">
      <w:r>
        <w:separator/>
      </w:r>
    </w:p>
  </w:endnote>
  <w:endnote w:type="continuationSeparator" w:id="0">
    <w:p w14:paraId="3649C53A" w14:textId="77777777" w:rsidR="00D2036D" w:rsidRDefault="00D2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D6EB" w14:textId="77777777" w:rsidR="00D2036D" w:rsidRPr="00EC070F" w:rsidRDefault="00D2036D">
    <w:pPr>
      <w:pStyle w:val="Footer"/>
      <w:rPr>
        <w:rFonts w:cs="Arial"/>
        <w:color w:val="4C8C2B"/>
      </w:rPr>
    </w:pPr>
    <w:r w:rsidRPr="00EC070F">
      <w:rPr>
        <w:rFonts w:cs="Arial"/>
        <w:color w:val="4C8C2B"/>
      </w:rPr>
      <w:t xml:space="preserve">www.facs.nsw.gov.au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F9A3" w14:textId="77777777" w:rsidR="00D2036D" w:rsidRDefault="00D2036D">
      <w:r>
        <w:separator/>
      </w:r>
    </w:p>
  </w:footnote>
  <w:footnote w:type="continuationSeparator" w:id="0">
    <w:p w14:paraId="31EF19AD" w14:textId="77777777" w:rsidR="00D2036D" w:rsidRDefault="00D20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8B51" w14:textId="77777777" w:rsidR="00D2036D" w:rsidRDefault="00D2036D" w:rsidP="00555F5C">
    <w:pPr>
      <w:pStyle w:val="Factsheet"/>
      <w:ind w:left="7200"/>
      <w:jc w:val="left"/>
    </w:pPr>
    <w:r>
      <w:rPr>
        <w:noProof/>
      </w:rPr>
      <w:drawing>
        <wp:anchor distT="0" distB="0" distL="114300" distR="114300" simplePos="0" relativeHeight="251659264" behindDoc="1" locked="0" layoutInCell="1" allowOverlap="1" wp14:anchorId="5DAF5E98" wp14:editId="2BCCC9D5">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br/>
    </w:r>
  </w:p>
  <w:p w14:paraId="427C7BD1" w14:textId="77777777" w:rsidR="00D2036D" w:rsidRPr="001F5B89" w:rsidRDefault="00D2036D"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02215"/>
    <w:multiLevelType w:val="hybridMultilevel"/>
    <w:tmpl w:val="5B6498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EA14C5"/>
    <w:multiLevelType w:val="hybridMultilevel"/>
    <w:tmpl w:val="E620F1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B15C0"/>
    <w:multiLevelType w:val="multilevel"/>
    <w:tmpl w:val="7F48644A"/>
    <w:numStyleLink w:val="Bulletpoint"/>
  </w:abstractNum>
  <w:abstractNum w:abstractNumId="5" w15:restartNumberingAfterBreak="0">
    <w:nsid w:val="2771481C"/>
    <w:multiLevelType w:val="hybridMultilevel"/>
    <w:tmpl w:val="5DBA25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3F2352"/>
    <w:multiLevelType w:val="hybridMultilevel"/>
    <w:tmpl w:val="5AFC0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A80D0E"/>
    <w:multiLevelType w:val="hybridMultilevel"/>
    <w:tmpl w:val="54E2BAE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3F706B"/>
    <w:multiLevelType w:val="hybridMultilevel"/>
    <w:tmpl w:val="A6BC2E7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B933B8"/>
    <w:multiLevelType w:val="hybridMultilevel"/>
    <w:tmpl w:val="F800B74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C93AED"/>
    <w:multiLevelType w:val="hybridMultilevel"/>
    <w:tmpl w:val="67F6C61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7D3AB2"/>
    <w:multiLevelType w:val="hybridMultilevel"/>
    <w:tmpl w:val="39C6D7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8904F4"/>
    <w:multiLevelType w:val="hybridMultilevel"/>
    <w:tmpl w:val="5D006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5165FC"/>
    <w:multiLevelType w:val="hybridMultilevel"/>
    <w:tmpl w:val="91C49F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91270E"/>
    <w:multiLevelType w:val="multilevel"/>
    <w:tmpl w:val="7F48644A"/>
    <w:numStyleLink w:val="Bulletpoint"/>
  </w:abstractNum>
  <w:abstractNum w:abstractNumId="16" w15:restartNumberingAfterBreak="0">
    <w:nsid w:val="54114829"/>
    <w:multiLevelType w:val="multilevel"/>
    <w:tmpl w:val="7F48644A"/>
    <w:numStyleLink w:val="Bulletpoint"/>
  </w:abstractNum>
  <w:abstractNum w:abstractNumId="17" w15:restartNumberingAfterBreak="0">
    <w:nsid w:val="58FE4FD3"/>
    <w:multiLevelType w:val="hybridMultilevel"/>
    <w:tmpl w:val="15C2FA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76CD3"/>
    <w:multiLevelType w:val="hybridMultilevel"/>
    <w:tmpl w:val="3524101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87F82"/>
    <w:multiLevelType w:val="hybridMultilevel"/>
    <w:tmpl w:val="8F94CCE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4E2E3D"/>
    <w:multiLevelType w:val="hybridMultilevel"/>
    <w:tmpl w:val="3898A9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482BFE"/>
    <w:multiLevelType w:val="hybridMultilevel"/>
    <w:tmpl w:val="FC60B8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AC08FD"/>
    <w:multiLevelType w:val="hybridMultilevel"/>
    <w:tmpl w:val="F7D674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DA334A"/>
    <w:multiLevelType w:val="hybridMultilevel"/>
    <w:tmpl w:val="54DA81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89617609">
    <w:abstractNumId w:val="0"/>
  </w:num>
  <w:num w:numId="2" w16cid:durableId="365133139">
    <w:abstractNumId w:val="19"/>
  </w:num>
  <w:num w:numId="3" w16cid:durableId="2055688076">
    <w:abstractNumId w:val="16"/>
  </w:num>
  <w:num w:numId="4" w16cid:durableId="449126203">
    <w:abstractNumId w:val="15"/>
  </w:num>
  <w:num w:numId="5" w16cid:durableId="615674173">
    <w:abstractNumId w:val="4"/>
  </w:num>
  <w:num w:numId="6" w16cid:durableId="163785712">
    <w:abstractNumId w:val="22"/>
  </w:num>
  <w:num w:numId="7" w16cid:durableId="1458335121">
    <w:abstractNumId w:val="3"/>
  </w:num>
  <w:num w:numId="8" w16cid:durableId="527257832">
    <w:abstractNumId w:val="25"/>
  </w:num>
  <w:num w:numId="9" w16cid:durableId="1063452712">
    <w:abstractNumId w:val="23"/>
  </w:num>
  <w:num w:numId="10" w16cid:durableId="1440251278">
    <w:abstractNumId w:val="18"/>
  </w:num>
  <w:num w:numId="11" w16cid:durableId="902371151">
    <w:abstractNumId w:val="9"/>
  </w:num>
  <w:num w:numId="12" w16cid:durableId="457458080">
    <w:abstractNumId w:val="14"/>
  </w:num>
  <w:num w:numId="13" w16cid:durableId="385842403">
    <w:abstractNumId w:val="21"/>
  </w:num>
  <w:num w:numId="14" w16cid:durableId="1240940061">
    <w:abstractNumId w:val="7"/>
  </w:num>
  <w:num w:numId="15" w16cid:durableId="1023897421">
    <w:abstractNumId w:val="12"/>
  </w:num>
  <w:num w:numId="16" w16cid:durableId="2017465309">
    <w:abstractNumId w:val="5"/>
  </w:num>
  <w:num w:numId="17" w16cid:durableId="1729835473">
    <w:abstractNumId w:val="6"/>
  </w:num>
  <w:num w:numId="18" w16cid:durableId="1931696240">
    <w:abstractNumId w:val="17"/>
  </w:num>
  <w:num w:numId="19" w16cid:durableId="2103404865">
    <w:abstractNumId w:val="20"/>
  </w:num>
  <w:num w:numId="20" w16cid:durableId="1112017168">
    <w:abstractNumId w:val="10"/>
  </w:num>
  <w:num w:numId="21" w16cid:durableId="1878350631">
    <w:abstractNumId w:val="28"/>
  </w:num>
  <w:num w:numId="22" w16cid:durableId="583995313">
    <w:abstractNumId w:val="11"/>
  </w:num>
  <w:num w:numId="23" w16cid:durableId="859663094">
    <w:abstractNumId w:val="2"/>
  </w:num>
  <w:num w:numId="24" w16cid:durableId="306472394">
    <w:abstractNumId w:val="24"/>
  </w:num>
  <w:num w:numId="25" w16cid:durableId="477960758">
    <w:abstractNumId w:val="13"/>
  </w:num>
  <w:num w:numId="26" w16cid:durableId="1779258282">
    <w:abstractNumId w:val="26"/>
  </w:num>
  <w:num w:numId="27" w16cid:durableId="1339886933">
    <w:abstractNumId w:val="27"/>
  </w:num>
  <w:num w:numId="28" w16cid:durableId="1206720169">
    <w:abstractNumId w:val="8"/>
  </w:num>
  <w:num w:numId="29" w16cid:durableId="620456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0364"/>
    <w:rsid w:val="000020E7"/>
    <w:rsid w:val="00002385"/>
    <w:rsid w:val="000023FA"/>
    <w:rsid w:val="0000537C"/>
    <w:rsid w:val="000073E7"/>
    <w:rsid w:val="00010F6A"/>
    <w:rsid w:val="000128F8"/>
    <w:rsid w:val="00014DFA"/>
    <w:rsid w:val="0001509B"/>
    <w:rsid w:val="0002002B"/>
    <w:rsid w:val="0002385F"/>
    <w:rsid w:val="000238BE"/>
    <w:rsid w:val="00024AA0"/>
    <w:rsid w:val="00025B62"/>
    <w:rsid w:val="0002652D"/>
    <w:rsid w:val="0002705A"/>
    <w:rsid w:val="00027FDA"/>
    <w:rsid w:val="000301A0"/>
    <w:rsid w:val="00030840"/>
    <w:rsid w:val="000329C1"/>
    <w:rsid w:val="000331DB"/>
    <w:rsid w:val="00033AD1"/>
    <w:rsid w:val="00034FF7"/>
    <w:rsid w:val="0003643E"/>
    <w:rsid w:val="000411E5"/>
    <w:rsid w:val="00042238"/>
    <w:rsid w:val="00042E77"/>
    <w:rsid w:val="0004492A"/>
    <w:rsid w:val="00045AF7"/>
    <w:rsid w:val="00047744"/>
    <w:rsid w:val="00050277"/>
    <w:rsid w:val="000545D9"/>
    <w:rsid w:val="00054D7D"/>
    <w:rsid w:val="000610BC"/>
    <w:rsid w:val="00062436"/>
    <w:rsid w:val="00064BA4"/>
    <w:rsid w:val="00067E94"/>
    <w:rsid w:val="00071F45"/>
    <w:rsid w:val="0007285B"/>
    <w:rsid w:val="0007502D"/>
    <w:rsid w:val="0007553F"/>
    <w:rsid w:val="0007698C"/>
    <w:rsid w:val="00077115"/>
    <w:rsid w:val="000773F2"/>
    <w:rsid w:val="0007784F"/>
    <w:rsid w:val="000808D2"/>
    <w:rsid w:val="000825C2"/>
    <w:rsid w:val="0008417F"/>
    <w:rsid w:val="0008467A"/>
    <w:rsid w:val="00085892"/>
    <w:rsid w:val="00086B8E"/>
    <w:rsid w:val="0009596E"/>
    <w:rsid w:val="00095D8D"/>
    <w:rsid w:val="00096208"/>
    <w:rsid w:val="00096EE0"/>
    <w:rsid w:val="000A0F1E"/>
    <w:rsid w:val="000A1A8C"/>
    <w:rsid w:val="000A36E1"/>
    <w:rsid w:val="000A3893"/>
    <w:rsid w:val="000A5290"/>
    <w:rsid w:val="000A5608"/>
    <w:rsid w:val="000A6642"/>
    <w:rsid w:val="000A7162"/>
    <w:rsid w:val="000B2634"/>
    <w:rsid w:val="000B2A74"/>
    <w:rsid w:val="000B3FA4"/>
    <w:rsid w:val="000B5612"/>
    <w:rsid w:val="000B56D8"/>
    <w:rsid w:val="000B59D7"/>
    <w:rsid w:val="000B5AA5"/>
    <w:rsid w:val="000B61E9"/>
    <w:rsid w:val="000B6AFE"/>
    <w:rsid w:val="000B75EB"/>
    <w:rsid w:val="000B7DB4"/>
    <w:rsid w:val="000C0268"/>
    <w:rsid w:val="000C12F7"/>
    <w:rsid w:val="000C1D2C"/>
    <w:rsid w:val="000C34A1"/>
    <w:rsid w:val="000C5FFB"/>
    <w:rsid w:val="000C662F"/>
    <w:rsid w:val="000C6B1E"/>
    <w:rsid w:val="000D19E9"/>
    <w:rsid w:val="000D2599"/>
    <w:rsid w:val="000D4DF9"/>
    <w:rsid w:val="000D63D0"/>
    <w:rsid w:val="000D7FA3"/>
    <w:rsid w:val="000E078B"/>
    <w:rsid w:val="000E182F"/>
    <w:rsid w:val="000E1E21"/>
    <w:rsid w:val="000E2418"/>
    <w:rsid w:val="000E7008"/>
    <w:rsid w:val="000F053E"/>
    <w:rsid w:val="000F2095"/>
    <w:rsid w:val="000F249F"/>
    <w:rsid w:val="000F32E7"/>
    <w:rsid w:val="000F3370"/>
    <w:rsid w:val="000F461F"/>
    <w:rsid w:val="000F51EC"/>
    <w:rsid w:val="000F634B"/>
    <w:rsid w:val="000F6CE6"/>
    <w:rsid w:val="00101958"/>
    <w:rsid w:val="00104FC4"/>
    <w:rsid w:val="00105365"/>
    <w:rsid w:val="0011059C"/>
    <w:rsid w:val="00111285"/>
    <w:rsid w:val="00113B05"/>
    <w:rsid w:val="00117158"/>
    <w:rsid w:val="001174B1"/>
    <w:rsid w:val="0012161B"/>
    <w:rsid w:val="00121C56"/>
    <w:rsid w:val="0012215F"/>
    <w:rsid w:val="00122385"/>
    <w:rsid w:val="00122CAE"/>
    <w:rsid w:val="00123C00"/>
    <w:rsid w:val="0012441C"/>
    <w:rsid w:val="00125996"/>
    <w:rsid w:val="0013027E"/>
    <w:rsid w:val="00131EA4"/>
    <w:rsid w:val="00132F07"/>
    <w:rsid w:val="001344D3"/>
    <w:rsid w:val="001344D4"/>
    <w:rsid w:val="001344DC"/>
    <w:rsid w:val="00135905"/>
    <w:rsid w:val="001359D1"/>
    <w:rsid w:val="00137892"/>
    <w:rsid w:val="00137F70"/>
    <w:rsid w:val="00140885"/>
    <w:rsid w:val="00142DBC"/>
    <w:rsid w:val="001441BA"/>
    <w:rsid w:val="00144B44"/>
    <w:rsid w:val="00145F50"/>
    <w:rsid w:val="00146DD9"/>
    <w:rsid w:val="00147626"/>
    <w:rsid w:val="00147D09"/>
    <w:rsid w:val="001501E7"/>
    <w:rsid w:val="001502A1"/>
    <w:rsid w:val="00151375"/>
    <w:rsid w:val="001513E0"/>
    <w:rsid w:val="001517A4"/>
    <w:rsid w:val="00152CFA"/>
    <w:rsid w:val="00156081"/>
    <w:rsid w:val="0016242C"/>
    <w:rsid w:val="00162916"/>
    <w:rsid w:val="00163B75"/>
    <w:rsid w:val="00165BCC"/>
    <w:rsid w:val="0016630F"/>
    <w:rsid w:val="001663F4"/>
    <w:rsid w:val="001669DC"/>
    <w:rsid w:val="0017182A"/>
    <w:rsid w:val="00171F63"/>
    <w:rsid w:val="001742EA"/>
    <w:rsid w:val="00175CFF"/>
    <w:rsid w:val="0017634D"/>
    <w:rsid w:val="00177098"/>
    <w:rsid w:val="00182B29"/>
    <w:rsid w:val="00182CDB"/>
    <w:rsid w:val="00184737"/>
    <w:rsid w:val="00187BFC"/>
    <w:rsid w:val="001909CA"/>
    <w:rsid w:val="00197B58"/>
    <w:rsid w:val="001A04EE"/>
    <w:rsid w:val="001A0A02"/>
    <w:rsid w:val="001B00B6"/>
    <w:rsid w:val="001B17A1"/>
    <w:rsid w:val="001B27D6"/>
    <w:rsid w:val="001B2A55"/>
    <w:rsid w:val="001B3A46"/>
    <w:rsid w:val="001B4A6B"/>
    <w:rsid w:val="001B4D62"/>
    <w:rsid w:val="001B79B1"/>
    <w:rsid w:val="001C15E4"/>
    <w:rsid w:val="001C236A"/>
    <w:rsid w:val="001C37D4"/>
    <w:rsid w:val="001C6396"/>
    <w:rsid w:val="001C6CF6"/>
    <w:rsid w:val="001C7076"/>
    <w:rsid w:val="001C71A1"/>
    <w:rsid w:val="001D0EC1"/>
    <w:rsid w:val="001D144E"/>
    <w:rsid w:val="001D3CC0"/>
    <w:rsid w:val="001D50C6"/>
    <w:rsid w:val="001D77A4"/>
    <w:rsid w:val="001E0AE4"/>
    <w:rsid w:val="001E1139"/>
    <w:rsid w:val="001E12EE"/>
    <w:rsid w:val="001E556C"/>
    <w:rsid w:val="001E652C"/>
    <w:rsid w:val="001E783A"/>
    <w:rsid w:val="001F2B5D"/>
    <w:rsid w:val="001F3B60"/>
    <w:rsid w:val="001F4440"/>
    <w:rsid w:val="001F46C1"/>
    <w:rsid w:val="001F5B89"/>
    <w:rsid w:val="001F5E9F"/>
    <w:rsid w:val="002010FF"/>
    <w:rsid w:val="00201EC7"/>
    <w:rsid w:val="00203AFA"/>
    <w:rsid w:val="00203F4C"/>
    <w:rsid w:val="00206468"/>
    <w:rsid w:val="00206CF7"/>
    <w:rsid w:val="00207B08"/>
    <w:rsid w:val="00211B89"/>
    <w:rsid w:val="0021405C"/>
    <w:rsid w:val="002140CA"/>
    <w:rsid w:val="00215557"/>
    <w:rsid w:val="0021655D"/>
    <w:rsid w:val="00217B75"/>
    <w:rsid w:val="00220972"/>
    <w:rsid w:val="00221FD2"/>
    <w:rsid w:val="00223136"/>
    <w:rsid w:val="00223A4D"/>
    <w:rsid w:val="0022472D"/>
    <w:rsid w:val="00224970"/>
    <w:rsid w:val="00226F44"/>
    <w:rsid w:val="002307C5"/>
    <w:rsid w:val="00233446"/>
    <w:rsid w:val="0023354E"/>
    <w:rsid w:val="00233EA8"/>
    <w:rsid w:val="00235151"/>
    <w:rsid w:val="00237B30"/>
    <w:rsid w:val="002407D0"/>
    <w:rsid w:val="002422C8"/>
    <w:rsid w:val="00244007"/>
    <w:rsid w:val="00245811"/>
    <w:rsid w:val="00254189"/>
    <w:rsid w:val="002552D9"/>
    <w:rsid w:val="0026232D"/>
    <w:rsid w:val="00262CF8"/>
    <w:rsid w:val="0026359F"/>
    <w:rsid w:val="00263903"/>
    <w:rsid w:val="00266AEE"/>
    <w:rsid w:val="00266ECB"/>
    <w:rsid w:val="00270797"/>
    <w:rsid w:val="002718EB"/>
    <w:rsid w:val="00273BD2"/>
    <w:rsid w:val="002759E0"/>
    <w:rsid w:val="00277096"/>
    <w:rsid w:val="002805F3"/>
    <w:rsid w:val="0028254B"/>
    <w:rsid w:val="00283423"/>
    <w:rsid w:val="0028595F"/>
    <w:rsid w:val="00285DA3"/>
    <w:rsid w:val="00285F8B"/>
    <w:rsid w:val="00292267"/>
    <w:rsid w:val="00294596"/>
    <w:rsid w:val="002976C9"/>
    <w:rsid w:val="002A2478"/>
    <w:rsid w:val="002A3643"/>
    <w:rsid w:val="002A4F3E"/>
    <w:rsid w:val="002A63B7"/>
    <w:rsid w:val="002A75A1"/>
    <w:rsid w:val="002A7FC0"/>
    <w:rsid w:val="002B0833"/>
    <w:rsid w:val="002B0995"/>
    <w:rsid w:val="002B2FBC"/>
    <w:rsid w:val="002B5094"/>
    <w:rsid w:val="002B5215"/>
    <w:rsid w:val="002B745C"/>
    <w:rsid w:val="002B79EF"/>
    <w:rsid w:val="002B7CEB"/>
    <w:rsid w:val="002C03D1"/>
    <w:rsid w:val="002C1746"/>
    <w:rsid w:val="002C2918"/>
    <w:rsid w:val="002C2A57"/>
    <w:rsid w:val="002C48DC"/>
    <w:rsid w:val="002C546D"/>
    <w:rsid w:val="002C75FA"/>
    <w:rsid w:val="002C7846"/>
    <w:rsid w:val="002D13B1"/>
    <w:rsid w:val="002D2808"/>
    <w:rsid w:val="002D3D98"/>
    <w:rsid w:val="002D473B"/>
    <w:rsid w:val="002D7FF1"/>
    <w:rsid w:val="002E1475"/>
    <w:rsid w:val="002E4809"/>
    <w:rsid w:val="002E5E5E"/>
    <w:rsid w:val="002E7126"/>
    <w:rsid w:val="002F11C1"/>
    <w:rsid w:val="002F194D"/>
    <w:rsid w:val="002F1BF6"/>
    <w:rsid w:val="002F4E30"/>
    <w:rsid w:val="002F5488"/>
    <w:rsid w:val="002F61A0"/>
    <w:rsid w:val="002F7EDC"/>
    <w:rsid w:val="00300844"/>
    <w:rsid w:val="003033E8"/>
    <w:rsid w:val="00305829"/>
    <w:rsid w:val="00307D53"/>
    <w:rsid w:val="0031124B"/>
    <w:rsid w:val="003117CD"/>
    <w:rsid w:val="00315796"/>
    <w:rsid w:val="003173AB"/>
    <w:rsid w:val="003206DD"/>
    <w:rsid w:val="00320D58"/>
    <w:rsid w:val="00327216"/>
    <w:rsid w:val="003306A3"/>
    <w:rsid w:val="00330901"/>
    <w:rsid w:val="00333D00"/>
    <w:rsid w:val="00334354"/>
    <w:rsid w:val="00334EDE"/>
    <w:rsid w:val="0033547A"/>
    <w:rsid w:val="0034140D"/>
    <w:rsid w:val="00341FE0"/>
    <w:rsid w:val="003433C7"/>
    <w:rsid w:val="00343FC0"/>
    <w:rsid w:val="003451FB"/>
    <w:rsid w:val="00350966"/>
    <w:rsid w:val="003511BA"/>
    <w:rsid w:val="003514DE"/>
    <w:rsid w:val="003519E4"/>
    <w:rsid w:val="00351E80"/>
    <w:rsid w:val="0035247A"/>
    <w:rsid w:val="00352D3F"/>
    <w:rsid w:val="003560A6"/>
    <w:rsid w:val="00360C09"/>
    <w:rsid w:val="00360E5D"/>
    <w:rsid w:val="00360EA0"/>
    <w:rsid w:val="003612DA"/>
    <w:rsid w:val="00364D80"/>
    <w:rsid w:val="00371240"/>
    <w:rsid w:val="00371427"/>
    <w:rsid w:val="00373822"/>
    <w:rsid w:val="00374198"/>
    <w:rsid w:val="00374D77"/>
    <w:rsid w:val="00381868"/>
    <w:rsid w:val="00382DD2"/>
    <w:rsid w:val="00383F13"/>
    <w:rsid w:val="0038482F"/>
    <w:rsid w:val="003864CF"/>
    <w:rsid w:val="003869F8"/>
    <w:rsid w:val="00386A5A"/>
    <w:rsid w:val="00393363"/>
    <w:rsid w:val="00394F0A"/>
    <w:rsid w:val="003A0D8E"/>
    <w:rsid w:val="003A1117"/>
    <w:rsid w:val="003A2183"/>
    <w:rsid w:val="003A2DAE"/>
    <w:rsid w:val="003A5B11"/>
    <w:rsid w:val="003A60EC"/>
    <w:rsid w:val="003A66E0"/>
    <w:rsid w:val="003A74D7"/>
    <w:rsid w:val="003B109B"/>
    <w:rsid w:val="003B1954"/>
    <w:rsid w:val="003B2029"/>
    <w:rsid w:val="003B312B"/>
    <w:rsid w:val="003B3B2B"/>
    <w:rsid w:val="003B4FA9"/>
    <w:rsid w:val="003B5958"/>
    <w:rsid w:val="003B76E6"/>
    <w:rsid w:val="003B7C6B"/>
    <w:rsid w:val="003C0161"/>
    <w:rsid w:val="003C37B3"/>
    <w:rsid w:val="003C39DA"/>
    <w:rsid w:val="003C497F"/>
    <w:rsid w:val="003C643C"/>
    <w:rsid w:val="003D3F7D"/>
    <w:rsid w:val="003D6256"/>
    <w:rsid w:val="003D74B2"/>
    <w:rsid w:val="003E027E"/>
    <w:rsid w:val="003E040E"/>
    <w:rsid w:val="003E2B10"/>
    <w:rsid w:val="003E3494"/>
    <w:rsid w:val="003E6026"/>
    <w:rsid w:val="003F0491"/>
    <w:rsid w:val="003F0F71"/>
    <w:rsid w:val="003F12EE"/>
    <w:rsid w:val="003F1D65"/>
    <w:rsid w:val="003F4AE1"/>
    <w:rsid w:val="003F53EB"/>
    <w:rsid w:val="003F5D47"/>
    <w:rsid w:val="003F7832"/>
    <w:rsid w:val="00403E95"/>
    <w:rsid w:val="00403ECB"/>
    <w:rsid w:val="00404713"/>
    <w:rsid w:val="0040586E"/>
    <w:rsid w:val="00413496"/>
    <w:rsid w:val="00414BE1"/>
    <w:rsid w:val="00414BFB"/>
    <w:rsid w:val="004157A1"/>
    <w:rsid w:val="0041637F"/>
    <w:rsid w:val="00417530"/>
    <w:rsid w:val="004209CB"/>
    <w:rsid w:val="00422F58"/>
    <w:rsid w:val="004245D1"/>
    <w:rsid w:val="004250D1"/>
    <w:rsid w:val="00426C75"/>
    <w:rsid w:val="00426CCF"/>
    <w:rsid w:val="0042762C"/>
    <w:rsid w:val="00430715"/>
    <w:rsid w:val="0043154E"/>
    <w:rsid w:val="00431C7D"/>
    <w:rsid w:val="0043340B"/>
    <w:rsid w:val="00433911"/>
    <w:rsid w:val="00433F77"/>
    <w:rsid w:val="00435FBE"/>
    <w:rsid w:val="0043730B"/>
    <w:rsid w:val="00437D7E"/>
    <w:rsid w:val="00437E31"/>
    <w:rsid w:val="00443223"/>
    <w:rsid w:val="004450E5"/>
    <w:rsid w:val="004469A1"/>
    <w:rsid w:val="0044771E"/>
    <w:rsid w:val="00456D1B"/>
    <w:rsid w:val="004578D4"/>
    <w:rsid w:val="00462C0D"/>
    <w:rsid w:val="00463348"/>
    <w:rsid w:val="00463693"/>
    <w:rsid w:val="00464392"/>
    <w:rsid w:val="00465278"/>
    <w:rsid w:val="00465B77"/>
    <w:rsid w:val="00465CA9"/>
    <w:rsid w:val="00471904"/>
    <w:rsid w:val="00471FED"/>
    <w:rsid w:val="00472613"/>
    <w:rsid w:val="00474D1F"/>
    <w:rsid w:val="00475124"/>
    <w:rsid w:val="00477082"/>
    <w:rsid w:val="0047716D"/>
    <w:rsid w:val="00482A4A"/>
    <w:rsid w:val="004832C0"/>
    <w:rsid w:val="00483E4D"/>
    <w:rsid w:val="00484FED"/>
    <w:rsid w:val="00486ADF"/>
    <w:rsid w:val="00487C45"/>
    <w:rsid w:val="004909FF"/>
    <w:rsid w:val="00492764"/>
    <w:rsid w:val="00492B05"/>
    <w:rsid w:val="00493E97"/>
    <w:rsid w:val="004955BF"/>
    <w:rsid w:val="00496318"/>
    <w:rsid w:val="00497695"/>
    <w:rsid w:val="00497A81"/>
    <w:rsid w:val="00497C5A"/>
    <w:rsid w:val="004A1978"/>
    <w:rsid w:val="004A2757"/>
    <w:rsid w:val="004A31C0"/>
    <w:rsid w:val="004A39D0"/>
    <w:rsid w:val="004A58FB"/>
    <w:rsid w:val="004A63CA"/>
    <w:rsid w:val="004B3ACB"/>
    <w:rsid w:val="004B4725"/>
    <w:rsid w:val="004B47D6"/>
    <w:rsid w:val="004B6C9A"/>
    <w:rsid w:val="004B73E4"/>
    <w:rsid w:val="004B7AB7"/>
    <w:rsid w:val="004C19EC"/>
    <w:rsid w:val="004C37F5"/>
    <w:rsid w:val="004C4253"/>
    <w:rsid w:val="004C46B8"/>
    <w:rsid w:val="004C4868"/>
    <w:rsid w:val="004C7CEB"/>
    <w:rsid w:val="004D006D"/>
    <w:rsid w:val="004D3681"/>
    <w:rsid w:val="004D4DC8"/>
    <w:rsid w:val="004D5B8A"/>
    <w:rsid w:val="004D5D40"/>
    <w:rsid w:val="004D68AC"/>
    <w:rsid w:val="004D7EA7"/>
    <w:rsid w:val="004E2BE2"/>
    <w:rsid w:val="004E63F8"/>
    <w:rsid w:val="004F2867"/>
    <w:rsid w:val="004F5225"/>
    <w:rsid w:val="004F68F4"/>
    <w:rsid w:val="004F6C8D"/>
    <w:rsid w:val="00500814"/>
    <w:rsid w:val="00501A40"/>
    <w:rsid w:val="005025DF"/>
    <w:rsid w:val="0050731C"/>
    <w:rsid w:val="005117CF"/>
    <w:rsid w:val="005121A3"/>
    <w:rsid w:val="00512431"/>
    <w:rsid w:val="005138C1"/>
    <w:rsid w:val="00513B31"/>
    <w:rsid w:val="00514203"/>
    <w:rsid w:val="00515388"/>
    <w:rsid w:val="005176D3"/>
    <w:rsid w:val="00517D85"/>
    <w:rsid w:val="00521663"/>
    <w:rsid w:val="005221DE"/>
    <w:rsid w:val="005243CE"/>
    <w:rsid w:val="00525FC6"/>
    <w:rsid w:val="005262A9"/>
    <w:rsid w:val="00532867"/>
    <w:rsid w:val="005362AF"/>
    <w:rsid w:val="00537C3A"/>
    <w:rsid w:val="00540306"/>
    <w:rsid w:val="00540BEA"/>
    <w:rsid w:val="00541187"/>
    <w:rsid w:val="00542D54"/>
    <w:rsid w:val="00542F20"/>
    <w:rsid w:val="00543CE9"/>
    <w:rsid w:val="005501FF"/>
    <w:rsid w:val="005529EC"/>
    <w:rsid w:val="00552DEE"/>
    <w:rsid w:val="00555F5C"/>
    <w:rsid w:val="00557D72"/>
    <w:rsid w:val="0056136E"/>
    <w:rsid w:val="0056392B"/>
    <w:rsid w:val="00564A6D"/>
    <w:rsid w:val="00566044"/>
    <w:rsid w:val="005674AF"/>
    <w:rsid w:val="00567A30"/>
    <w:rsid w:val="00572CB5"/>
    <w:rsid w:val="005736B4"/>
    <w:rsid w:val="00575CBA"/>
    <w:rsid w:val="0057662F"/>
    <w:rsid w:val="00577525"/>
    <w:rsid w:val="00577E52"/>
    <w:rsid w:val="0058035E"/>
    <w:rsid w:val="00581AED"/>
    <w:rsid w:val="00581C6C"/>
    <w:rsid w:val="00584469"/>
    <w:rsid w:val="0058515E"/>
    <w:rsid w:val="005852F8"/>
    <w:rsid w:val="005859FB"/>
    <w:rsid w:val="00585E90"/>
    <w:rsid w:val="00587B7D"/>
    <w:rsid w:val="00587FC3"/>
    <w:rsid w:val="00591F7A"/>
    <w:rsid w:val="005927CC"/>
    <w:rsid w:val="005A14CC"/>
    <w:rsid w:val="005A2F57"/>
    <w:rsid w:val="005A36DE"/>
    <w:rsid w:val="005A576C"/>
    <w:rsid w:val="005A5F47"/>
    <w:rsid w:val="005A74E6"/>
    <w:rsid w:val="005A7826"/>
    <w:rsid w:val="005B05EB"/>
    <w:rsid w:val="005B1BAD"/>
    <w:rsid w:val="005B3E6F"/>
    <w:rsid w:val="005B72A1"/>
    <w:rsid w:val="005C03C7"/>
    <w:rsid w:val="005C073E"/>
    <w:rsid w:val="005C0C76"/>
    <w:rsid w:val="005C11C0"/>
    <w:rsid w:val="005C1A32"/>
    <w:rsid w:val="005C1E4A"/>
    <w:rsid w:val="005C3829"/>
    <w:rsid w:val="005D2418"/>
    <w:rsid w:val="005D3C1E"/>
    <w:rsid w:val="005D5243"/>
    <w:rsid w:val="005E0EC4"/>
    <w:rsid w:val="005E304F"/>
    <w:rsid w:val="005E4202"/>
    <w:rsid w:val="005E5D5C"/>
    <w:rsid w:val="005E793E"/>
    <w:rsid w:val="005F265C"/>
    <w:rsid w:val="005F384D"/>
    <w:rsid w:val="005F47CF"/>
    <w:rsid w:val="005F68CF"/>
    <w:rsid w:val="005F7BED"/>
    <w:rsid w:val="005F7C64"/>
    <w:rsid w:val="00602501"/>
    <w:rsid w:val="00602E79"/>
    <w:rsid w:val="006047A5"/>
    <w:rsid w:val="00606514"/>
    <w:rsid w:val="00606598"/>
    <w:rsid w:val="00606934"/>
    <w:rsid w:val="00616E28"/>
    <w:rsid w:val="00616FBF"/>
    <w:rsid w:val="0062186B"/>
    <w:rsid w:val="0062259C"/>
    <w:rsid w:val="00624F0D"/>
    <w:rsid w:val="00625C93"/>
    <w:rsid w:val="00626333"/>
    <w:rsid w:val="00626515"/>
    <w:rsid w:val="006268D0"/>
    <w:rsid w:val="00627656"/>
    <w:rsid w:val="0063059C"/>
    <w:rsid w:val="00635154"/>
    <w:rsid w:val="006407A6"/>
    <w:rsid w:val="00640E93"/>
    <w:rsid w:val="00641926"/>
    <w:rsid w:val="00641B08"/>
    <w:rsid w:val="00643E54"/>
    <w:rsid w:val="00644521"/>
    <w:rsid w:val="006454C0"/>
    <w:rsid w:val="006560D6"/>
    <w:rsid w:val="00656D1A"/>
    <w:rsid w:val="006572F3"/>
    <w:rsid w:val="00657A4D"/>
    <w:rsid w:val="00657E24"/>
    <w:rsid w:val="00657F81"/>
    <w:rsid w:val="006604A0"/>
    <w:rsid w:val="00662ABD"/>
    <w:rsid w:val="006632AB"/>
    <w:rsid w:val="0066560E"/>
    <w:rsid w:val="00667F27"/>
    <w:rsid w:val="00673429"/>
    <w:rsid w:val="00673F44"/>
    <w:rsid w:val="0067451E"/>
    <w:rsid w:val="00675CB8"/>
    <w:rsid w:val="0067627A"/>
    <w:rsid w:val="00676748"/>
    <w:rsid w:val="00681CB1"/>
    <w:rsid w:val="0068374C"/>
    <w:rsid w:val="00683756"/>
    <w:rsid w:val="00684100"/>
    <w:rsid w:val="00684F7F"/>
    <w:rsid w:val="006856BA"/>
    <w:rsid w:val="00693256"/>
    <w:rsid w:val="0069529F"/>
    <w:rsid w:val="006971DF"/>
    <w:rsid w:val="006A0046"/>
    <w:rsid w:val="006A2405"/>
    <w:rsid w:val="006A3F87"/>
    <w:rsid w:val="006A5D5F"/>
    <w:rsid w:val="006A6DB1"/>
    <w:rsid w:val="006A6EA2"/>
    <w:rsid w:val="006B04CD"/>
    <w:rsid w:val="006B057F"/>
    <w:rsid w:val="006B33CD"/>
    <w:rsid w:val="006B4028"/>
    <w:rsid w:val="006B480C"/>
    <w:rsid w:val="006B493D"/>
    <w:rsid w:val="006B5340"/>
    <w:rsid w:val="006B5948"/>
    <w:rsid w:val="006C0C3B"/>
    <w:rsid w:val="006C4501"/>
    <w:rsid w:val="006C47B1"/>
    <w:rsid w:val="006C6EB6"/>
    <w:rsid w:val="006D1E36"/>
    <w:rsid w:val="006D2E28"/>
    <w:rsid w:val="006D6D40"/>
    <w:rsid w:val="006E3BEB"/>
    <w:rsid w:val="006E4F29"/>
    <w:rsid w:val="006E79A0"/>
    <w:rsid w:val="006E7A71"/>
    <w:rsid w:val="006F0E4E"/>
    <w:rsid w:val="006F1DD2"/>
    <w:rsid w:val="006F3E7B"/>
    <w:rsid w:val="006F4102"/>
    <w:rsid w:val="006F4546"/>
    <w:rsid w:val="006F55AF"/>
    <w:rsid w:val="006F63B4"/>
    <w:rsid w:val="006F678D"/>
    <w:rsid w:val="006F78C2"/>
    <w:rsid w:val="006F7E8A"/>
    <w:rsid w:val="00700862"/>
    <w:rsid w:val="00700FFE"/>
    <w:rsid w:val="0070389C"/>
    <w:rsid w:val="007039F2"/>
    <w:rsid w:val="00703E2D"/>
    <w:rsid w:val="00705798"/>
    <w:rsid w:val="00706202"/>
    <w:rsid w:val="00706E5A"/>
    <w:rsid w:val="00707737"/>
    <w:rsid w:val="00707B6E"/>
    <w:rsid w:val="00707D78"/>
    <w:rsid w:val="00707DF4"/>
    <w:rsid w:val="0071136F"/>
    <w:rsid w:val="00711F21"/>
    <w:rsid w:val="007143CA"/>
    <w:rsid w:val="00717FF7"/>
    <w:rsid w:val="0072085C"/>
    <w:rsid w:val="00722530"/>
    <w:rsid w:val="007225CF"/>
    <w:rsid w:val="007227F3"/>
    <w:rsid w:val="00722BDC"/>
    <w:rsid w:val="00724361"/>
    <w:rsid w:val="0072526F"/>
    <w:rsid w:val="00725308"/>
    <w:rsid w:val="007255A8"/>
    <w:rsid w:val="00726BCE"/>
    <w:rsid w:val="00730305"/>
    <w:rsid w:val="00730C7D"/>
    <w:rsid w:val="00735662"/>
    <w:rsid w:val="00735D7C"/>
    <w:rsid w:val="00736BFA"/>
    <w:rsid w:val="0073706D"/>
    <w:rsid w:val="007370A0"/>
    <w:rsid w:val="007373FB"/>
    <w:rsid w:val="00737805"/>
    <w:rsid w:val="00740E3B"/>
    <w:rsid w:val="007418B7"/>
    <w:rsid w:val="007453A9"/>
    <w:rsid w:val="0075359D"/>
    <w:rsid w:val="007539EE"/>
    <w:rsid w:val="00753B5C"/>
    <w:rsid w:val="00756146"/>
    <w:rsid w:val="00760AA8"/>
    <w:rsid w:val="00761AA7"/>
    <w:rsid w:val="00761B41"/>
    <w:rsid w:val="007633B4"/>
    <w:rsid w:val="007653AC"/>
    <w:rsid w:val="007712A3"/>
    <w:rsid w:val="007719DB"/>
    <w:rsid w:val="00773342"/>
    <w:rsid w:val="007775C2"/>
    <w:rsid w:val="007816CA"/>
    <w:rsid w:val="00782879"/>
    <w:rsid w:val="0078400F"/>
    <w:rsid w:val="007870F3"/>
    <w:rsid w:val="00787A46"/>
    <w:rsid w:val="007904E8"/>
    <w:rsid w:val="0079293C"/>
    <w:rsid w:val="00794002"/>
    <w:rsid w:val="00794B8E"/>
    <w:rsid w:val="007A0631"/>
    <w:rsid w:val="007A0AE7"/>
    <w:rsid w:val="007A2415"/>
    <w:rsid w:val="007A4ACF"/>
    <w:rsid w:val="007A5679"/>
    <w:rsid w:val="007A6449"/>
    <w:rsid w:val="007A7B79"/>
    <w:rsid w:val="007B10A1"/>
    <w:rsid w:val="007B4E6B"/>
    <w:rsid w:val="007B796A"/>
    <w:rsid w:val="007C2068"/>
    <w:rsid w:val="007C314E"/>
    <w:rsid w:val="007C32B1"/>
    <w:rsid w:val="007C336E"/>
    <w:rsid w:val="007C4032"/>
    <w:rsid w:val="007C5405"/>
    <w:rsid w:val="007C5444"/>
    <w:rsid w:val="007C648A"/>
    <w:rsid w:val="007D0269"/>
    <w:rsid w:val="007D0D89"/>
    <w:rsid w:val="007D1E4A"/>
    <w:rsid w:val="007D5C84"/>
    <w:rsid w:val="007D5EE6"/>
    <w:rsid w:val="007D612F"/>
    <w:rsid w:val="007D7250"/>
    <w:rsid w:val="007D7989"/>
    <w:rsid w:val="007E0541"/>
    <w:rsid w:val="007E283B"/>
    <w:rsid w:val="007E6506"/>
    <w:rsid w:val="007E6630"/>
    <w:rsid w:val="007E74CE"/>
    <w:rsid w:val="007F0DFF"/>
    <w:rsid w:val="007F21E1"/>
    <w:rsid w:val="007F249A"/>
    <w:rsid w:val="007F484C"/>
    <w:rsid w:val="007F49B2"/>
    <w:rsid w:val="007F4BB5"/>
    <w:rsid w:val="007F4CD1"/>
    <w:rsid w:val="007F5F30"/>
    <w:rsid w:val="007F64B5"/>
    <w:rsid w:val="007F6563"/>
    <w:rsid w:val="008001A5"/>
    <w:rsid w:val="008016F9"/>
    <w:rsid w:val="00802DD7"/>
    <w:rsid w:val="008034CF"/>
    <w:rsid w:val="008038EC"/>
    <w:rsid w:val="00807728"/>
    <w:rsid w:val="00810C20"/>
    <w:rsid w:val="0082299C"/>
    <w:rsid w:val="00822A85"/>
    <w:rsid w:val="00823721"/>
    <w:rsid w:val="00824B83"/>
    <w:rsid w:val="00830009"/>
    <w:rsid w:val="00830C15"/>
    <w:rsid w:val="00832FAA"/>
    <w:rsid w:val="00834910"/>
    <w:rsid w:val="008355C2"/>
    <w:rsid w:val="008359C8"/>
    <w:rsid w:val="00841E54"/>
    <w:rsid w:val="0084320C"/>
    <w:rsid w:val="00843501"/>
    <w:rsid w:val="0085229E"/>
    <w:rsid w:val="00852784"/>
    <w:rsid w:val="0085398A"/>
    <w:rsid w:val="0085449F"/>
    <w:rsid w:val="00855C78"/>
    <w:rsid w:val="00857426"/>
    <w:rsid w:val="00857D98"/>
    <w:rsid w:val="00863346"/>
    <w:rsid w:val="0086371E"/>
    <w:rsid w:val="008640CC"/>
    <w:rsid w:val="008645E3"/>
    <w:rsid w:val="00864828"/>
    <w:rsid w:val="00870743"/>
    <w:rsid w:val="008709B8"/>
    <w:rsid w:val="00872919"/>
    <w:rsid w:val="0087502F"/>
    <w:rsid w:val="00877A34"/>
    <w:rsid w:val="00877A71"/>
    <w:rsid w:val="0088091F"/>
    <w:rsid w:val="008841B2"/>
    <w:rsid w:val="00884540"/>
    <w:rsid w:val="008849CE"/>
    <w:rsid w:val="008873F6"/>
    <w:rsid w:val="008940F6"/>
    <w:rsid w:val="0089517C"/>
    <w:rsid w:val="00897EC3"/>
    <w:rsid w:val="008A1D94"/>
    <w:rsid w:val="008A4CA2"/>
    <w:rsid w:val="008A53DD"/>
    <w:rsid w:val="008A6A0D"/>
    <w:rsid w:val="008A7B08"/>
    <w:rsid w:val="008B1641"/>
    <w:rsid w:val="008B3B1D"/>
    <w:rsid w:val="008B4601"/>
    <w:rsid w:val="008B6191"/>
    <w:rsid w:val="008B6B17"/>
    <w:rsid w:val="008C06E7"/>
    <w:rsid w:val="008C140F"/>
    <w:rsid w:val="008C2FB2"/>
    <w:rsid w:val="008C2FB6"/>
    <w:rsid w:val="008C340F"/>
    <w:rsid w:val="008D12BF"/>
    <w:rsid w:val="008D367F"/>
    <w:rsid w:val="008D43FA"/>
    <w:rsid w:val="008D4793"/>
    <w:rsid w:val="008D4CBD"/>
    <w:rsid w:val="008D5C71"/>
    <w:rsid w:val="008E03EC"/>
    <w:rsid w:val="008E19B1"/>
    <w:rsid w:val="008E2FCC"/>
    <w:rsid w:val="008E3093"/>
    <w:rsid w:val="008E5305"/>
    <w:rsid w:val="008E6C1E"/>
    <w:rsid w:val="008E7B78"/>
    <w:rsid w:val="008F2FB1"/>
    <w:rsid w:val="008F4C35"/>
    <w:rsid w:val="008F5488"/>
    <w:rsid w:val="008F757B"/>
    <w:rsid w:val="00900828"/>
    <w:rsid w:val="00900D31"/>
    <w:rsid w:val="00901DE6"/>
    <w:rsid w:val="00903812"/>
    <w:rsid w:val="00904A57"/>
    <w:rsid w:val="00906663"/>
    <w:rsid w:val="00906AB4"/>
    <w:rsid w:val="00907920"/>
    <w:rsid w:val="0091352A"/>
    <w:rsid w:val="00913682"/>
    <w:rsid w:val="00914AA2"/>
    <w:rsid w:val="00915392"/>
    <w:rsid w:val="00916AE4"/>
    <w:rsid w:val="00917E2A"/>
    <w:rsid w:val="00925E78"/>
    <w:rsid w:val="0092646E"/>
    <w:rsid w:val="00927434"/>
    <w:rsid w:val="00927436"/>
    <w:rsid w:val="009278A7"/>
    <w:rsid w:val="00931A41"/>
    <w:rsid w:val="009320E3"/>
    <w:rsid w:val="00932A55"/>
    <w:rsid w:val="00932E79"/>
    <w:rsid w:val="00933915"/>
    <w:rsid w:val="00934555"/>
    <w:rsid w:val="00944CB0"/>
    <w:rsid w:val="0094542E"/>
    <w:rsid w:val="00946B23"/>
    <w:rsid w:val="00946B95"/>
    <w:rsid w:val="0095060E"/>
    <w:rsid w:val="009518D2"/>
    <w:rsid w:val="00952435"/>
    <w:rsid w:val="00953E8A"/>
    <w:rsid w:val="00960CA6"/>
    <w:rsid w:val="0096522A"/>
    <w:rsid w:val="009674B8"/>
    <w:rsid w:val="00970410"/>
    <w:rsid w:val="00970D43"/>
    <w:rsid w:val="00971A81"/>
    <w:rsid w:val="00971CE0"/>
    <w:rsid w:val="00972C1A"/>
    <w:rsid w:val="009805BD"/>
    <w:rsid w:val="0098118D"/>
    <w:rsid w:val="00981E25"/>
    <w:rsid w:val="00981E50"/>
    <w:rsid w:val="009827BA"/>
    <w:rsid w:val="0098461E"/>
    <w:rsid w:val="00985076"/>
    <w:rsid w:val="0098586D"/>
    <w:rsid w:val="00987C51"/>
    <w:rsid w:val="00993332"/>
    <w:rsid w:val="0099637D"/>
    <w:rsid w:val="00996B47"/>
    <w:rsid w:val="00997300"/>
    <w:rsid w:val="00997723"/>
    <w:rsid w:val="009A0E0E"/>
    <w:rsid w:val="009A3228"/>
    <w:rsid w:val="009A5386"/>
    <w:rsid w:val="009A577D"/>
    <w:rsid w:val="009A7C06"/>
    <w:rsid w:val="009B03A5"/>
    <w:rsid w:val="009B0B84"/>
    <w:rsid w:val="009B275D"/>
    <w:rsid w:val="009B3925"/>
    <w:rsid w:val="009B42D5"/>
    <w:rsid w:val="009B6768"/>
    <w:rsid w:val="009B799E"/>
    <w:rsid w:val="009C09F9"/>
    <w:rsid w:val="009C139D"/>
    <w:rsid w:val="009C2BC1"/>
    <w:rsid w:val="009C2FC2"/>
    <w:rsid w:val="009C373D"/>
    <w:rsid w:val="009C39F9"/>
    <w:rsid w:val="009C4138"/>
    <w:rsid w:val="009D0DE8"/>
    <w:rsid w:val="009D1EF2"/>
    <w:rsid w:val="009D2F67"/>
    <w:rsid w:val="009D3B98"/>
    <w:rsid w:val="009D4F3C"/>
    <w:rsid w:val="009D4F40"/>
    <w:rsid w:val="009D7114"/>
    <w:rsid w:val="009E1A41"/>
    <w:rsid w:val="009E3C87"/>
    <w:rsid w:val="009E3D82"/>
    <w:rsid w:val="009E46E2"/>
    <w:rsid w:val="009E4B0D"/>
    <w:rsid w:val="009E4DB0"/>
    <w:rsid w:val="009E5598"/>
    <w:rsid w:val="009E7A79"/>
    <w:rsid w:val="009E7D17"/>
    <w:rsid w:val="009F05C3"/>
    <w:rsid w:val="009F0CFA"/>
    <w:rsid w:val="009F3242"/>
    <w:rsid w:val="009F3EA5"/>
    <w:rsid w:val="009F5A7B"/>
    <w:rsid w:val="00A03B45"/>
    <w:rsid w:val="00A06DC4"/>
    <w:rsid w:val="00A06F4C"/>
    <w:rsid w:val="00A0732C"/>
    <w:rsid w:val="00A12F22"/>
    <w:rsid w:val="00A13250"/>
    <w:rsid w:val="00A140C4"/>
    <w:rsid w:val="00A160B4"/>
    <w:rsid w:val="00A160EE"/>
    <w:rsid w:val="00A1631B"/>
    <w:rsid w:val="00A21DD3"/>
    <w:rsid w:val="00A241FD"/>
    <w:rsid w:val="00A25CE3"/>
    <w:rsid w:val="00A277A4"/>
    <w:rsid w:val="00A3196A"/>
    <w:rsid w:val="00A339E3"/>
    <w:rsid w:val="00A33B90"/>
    <w:rsid w:val="00A33EF5"/>
    <w:rsid w:val="00A3617B"/>
    <w:rsid w:val="00A36BE4"/>
    <w:rsid w:val="00A40E27"/>
    <w:rsid w:val="00A413C4"/>
    <w:rsid w:val="00A4153B"/>
    <w:rsid w:val="00A428D7"/>
    <w:rsid w:val="00A440B8"/>
    <w:rsid w:val="00A44959"/>
    <w:rsid w:val="00A44CF3"/>
    <w:rsid w:val="00A47932"/>
    <w:rsid w:val="00A50459"/>
    <w:rsid w:val="00A50F05"/>
    <w:rsid w:val="00A533BA"/>
    <w:rsid w:val="00A54292"/>
    <w:rsid w:val="00A54816"/>
    <w:rsid w:val="00A54F47"/>
    <w:rsid w:val="00A554CE"/>
    <w:rsid w:val="00A5593B"/>
    <w:rsid w:val="00A56B9F"/>
    <w:rsid w:val="00A60F03"/>
    <w:rsid w:val="00A628C2"/>
    <w:rsid w:val="00A65F55"/>
    <w:rsid w:val="00A701DD"/>
    <w:rsid w:val="00A72113"/>
    <w:rsid w:val="00A73754"/>
    <w:rsid w:val="00A73802"/>
    <w:rsid w:val="00A75868"/>
    <w:rsid w:val="00A76FBF"/>
    <w:rsid w:val="00A807C9"/>
    <w:rsid w:val="00A80F69"/>
    <w:rsid w:val="00A81242"/>
    <w:rsid w:val="00A819EB"/>
    <w:rsid w:val="00A8318D"/>
    <w:rsid w:val="00A83638"/>
    <w:rsid w:val="00A8375D"/>
    <w:rsid w:val="00A839C8"/>
    <w:rsid w:val="00A8445B"/>
    <w:rsid w:val="00A8484E"/>
    <w:rsid w:val="00A8639D"/>
    <w:rsid w:val="00A86628"/>
    <w:rsid w:val="00A87502"/>
    <w:rsid w:val="00A91C45"/>
    <w:rsid w:val="00A9434D"/>
    <w:rsid w:val="00A96FAD"/>
    <w:rsid w:val="00A972A4"/>
    <w:rsid w:val="00A97E8E"/>
    <w:rsid w:val="00A97EDE"/>
    <w:rsid w:val="00AA0677"/>
    <w:rsid w:val="00AA1C75"/>
    <w:rsid w:val="00AA1F7F"/>
    <w:rsid w:val="00AA3945"/>
    <w:rsid w:val="00AB25AB"/>
    <w:rsid w:val="00AB2F33"/>
    <w:rsid w:val="00AB4BED"/>
    <w:rsid w:val="00AB6AC5"/>
    <w:rsid w:val="00AC2363"/>
    <w:rsid w:val="00AC61EC"/>
    <w:rsid w:val="00AC72F0"/>
    <w:rsid w:val="00AC7892"/>
    <w:rsid w:val="00AC791A"/>
    <w:rsid w:val="00AC7B28"/>
    <w:rsid w:val="00AD198A"/>
    <w:rsid w:val="00AD392C"/>
    <w:rsid w:val="00AD7126"/>
    <w:rsid w:val="00AE05C4"/>
    <w:rsid w:val="00AE52BB"/>
    <w:rsid w:val="00AE59F0"/>
    <w:rsid w:val="00AE6C6D"/>
    <w:rsid w:val="00AE72F0"/>
    <w:rsid w:val="00AF0285"/>
    <w:rsid w:val="00AF341B"/>
    <w:rsid w:val="00AF4900"/>
    <w:rsid w:val="00AF711A"/>
    <w:rsid w:val="00B000DB"/>
    <w:rsid w:val="00B01198"/>
    <w:rsid w:val="00B029D7"/>
    <w:rsid w:val="00B031D2"/>
    <w:rsid w:val="00B06988"/>
    <w:rsid w:val="00B1087F"/>
    <w:rsid w:val="00B11633"/>
    <w:rsid w:val="00B11C56"/>
    <w:rsid w:val="00B12A7B"/>
    <w:rsid w:val="00B136C8"/>
    <w:rsid w:val="00B14166"/>
    <w:rsid w:val="00B15E36"/>
    <w:rsid w:val="00B20EB9"/>
    <w:rsid w:val="00B21A38"/>
    <w:rsid w:val="00B21D0E"/>
    <w:rsid w:val="00B2208A"/>
    <w:rsid w:val="00B225BD"/>
    <w:rsid w:val="00B25D04"/>
    <w:rsid w:val="00B264FD"/>
    <w:rsid w:val="00B3373B"/>
    <w:rsid w:val="00B359F1"/>
    <w:rsid w:val="00B41260"/>
    <w:rsid w:val="00B41A1F"/>
    <w:rsid w:val="00B4316D"/>
    <w:rsid w:val="00B436F2"/>
    <w:rsid w:val="00B442B4"/>
    <w:rsid w:val="00B45563"/>
    <w:rsid w:val="00B5290C"/>
    <w:rsid w:val="00B530A0"/>
    <w:rsid w:val="00B579B2"/>
    <w:rsid w:val="00B61809"/>
    <w:rsid w:val="00B65329"/>
    <w:rsid w:val="00B6725F"/>
    <w:rsid w:val="00B70335"/>
    <w:rsid w:val="00B72875"/>
    <w:rsid w:val="00B745E9"/>
    <w:rsid w:val="00B74DC6"/>
    <w:rsid w:val="00B77ED0"/>
    <w:rsid w:val="00B81F48"/>
    <w:rsid w:val="00B830DD"/>
    <w:rsid w:val="00B8325F"/>
    <w:rsid w:val="00B8398D"/>
    <w:rsid w:val="00B87718"/>
    <w:rsid w:val="00B90345"/>
    <w:rsid w:val="00B9065D"/>
    <w:rsid w:val="00B907CD"/>
    <w:rsid w:val="00B9232D"/>
    <w:rsid w:val="00B923F1"/>
    <w:rsid w:val="00B93AD1"/>
    <w:rsid w:val="00B93FBE"/>
    <w:rsid w:val="00B94763"/>
    <w:rsid w:val="00B94C54"/>
    <w:rsid w:val="00B954CB"/>
    <w:rsid w:val="00B96042"/>
    <w:rsid w:val="00BA31AA"/>
    <w:rsid w:val="00BA4230"/>
    <w:rsid w:val="00BA4468"/>
    <w:rsid w:val="00BA4598"/>
    <w:rsid w:val="00BA49E2"/>
    <w:rsid w:val="00BA5201"/>
    <w:rsid w:val="00BB03CC"/>
    <w:rsid w:val="00BB0F1F"/>
    <w:rsid w:val="00BB11ED"/>
    <w:rsid w:val="00BB1545"/>
    <w:rsid w:val="00BB1802"/>
    <w:rsid w:val="00BB1A96"/>
    <w:rsid w:val="00BB304A"/>
    <w:rsid w:val="00BB3FC9"/>
    <w:rsid w:val="00BB657B"/>
    <w:rsid w:val="00BB7E7F"/>
    <w:rsid w:val="00BC12FE"/>
    <w:rsid w:val="00BC1827"/>
    <w:rsid w:val="00BC1CB7"/>
    <w:rsid w:val="00BC237F"/>
    <w:rsid w:val="00BC2DA6"/>
    <w:rsid w:val="00BC589A"/>
    <w:rsid w:val="00BD0868"/>
    <w:rsid w:val="00BD1835"/>
    <w:rsid w:val="00BD1FC5"/>
    <w:rsid w:val="00BD2008"/>
    <w:rsid w:val="00BD710E"/>
    <w:rsid w:val="00BD75AF"/>
    <w:rsid w:val="00BE3E96"/>
    <w:rsid w:val="00BE6932"/>
    <w:rsid w:val="00BF0243"/>
    <w:rsid w:val="00BF73F0"/>
    <w:rsid w:val="00BF7961"/>
    <w:rsid w:val="00C00F0E"/>
    <w:rsid w:val="00C02388"/>
    <w:rsid w:val="00C03748"/>
    <w:rsid w:val="00C04104"/>
    <w:rsid w:val="00C10460"/>
    <w:rsid w:val="00C10AAB"/>
    <w:rsid w:val="00C10F89"/>
    <w:rsid w:val="00C11A9A"/>
    <w:rsid w:val="00C11D3B"/>
    <w:rsid w:val="00C1543B"/>
    <w:rsid w:val="00C20CC5"/>
    <w:rsid w:val="00C212C5"/>
    <w:rsid w:val="00C2134C"/>
    <w:rsid w:val="00C23E09"/>
    <w:rsid w:val="00C274D6"/>
    <w:rsid w:val="00C33295"/>
    <w:rsid w:val="00C33DD7"/>
    <w:rsid w:val="00C36D69"/>
    <w:rsid w:val="00C406FB"/>
    <w:rsid w:val="00C4100B"/>
    <w:rsid w:val="00C410A5"/>
    <w:rsid w:val="00C45899"/>
    <w:rsid w:val="00C45EA3"/>
    <w:rsid w:val="00C4626B"/>
    <w:rsid w:val="00C5065A"/>
    <w:rsid w:val="00C509C4"/>
    <w:rsid w:val="00C50AD9"/>
    <w:rsid w:val="00C51B16"/>
    <w:rsid w:val="00C56180"/>
    <w:rsid w:val="00C5755B"/>
    <w:rsid w:val="00C61DAC"/>
    <w:rsid w:val="00C628C9"/>
    <w:rsid w:val="00C6472A"/>
    <w:rsid w:val="00C64EEA"/>
    <w:rsid w:val="00C73AAF"/>
    <w:rsid w:val="00C75C7F"/>
    <w:rsid w:val="00C76E7C"/>
    <w:rsid w:val="00C8016A"/>
    <w:rsid w:val="00C81613"/>
    <w:rsid w:val="00C83EA4"/>
    <w:rsid w:val="00C84B7F"/>
    <w:rsid w:val="00C8520A"/>
    <w:rsid w:val="00C85433"/>
    <w:rsid w:val="00C9098F"/>
    <w:rsid w:val="00C92DB0"/>
    <w:rsid w:val="00C93EAA"/>
    <w:rsid w:val="00C943C1"/>
    <w:rsid w:val="00C94DCD"/>
    <w:rsid w:val="00C95BD4"/>
    <w:rsid w:val="00C9763D"/>
    <w:rsid w:val="00CA147F"/>
    <w:rsid w:val="00CA176C"/>
    <w:rsid w:val="00CA4627"/>
    <w:rsid w:val="00CA4B81"/>
    <w:rsid w:val="00CB1303"/>
    <w:rsid w:val="00CB3F1D"/>
    <w:rsid w:val="00CB6A03"/>
    <w:rsid w:val="00CB74C6"/>
    <w:rsid w:val="00CC4171"/>
    <w:rsid w:val="00CC47D6"/>
    <w:rsid w:val="00CC52A0"/>
    <w:rsid w:val="00CC5ABA"/>
    <w:rsid w:val="00CC63CB"/>
    <w:rsid w:val="00CD0663"/>
    <w:rsid w:val="00CD1B13"/>
    <w:rsid w:val="00CD20E2"/>
    <w:rsid w:val="00CD2467"/>
    <w:rsid w:val="00CD4467"/>
    <w:rsid w:val="00CD4DFB"/>
    <w:rsid w:val="00CD4F1D"/>
    <w:rsid w:val="00CD500A"/>
    <w:rsid w:val="00CD54F1"/>
    <w:rsid w:val="00CD5FE2"/>
    <w:rsid w:val="00CD7493"/>
    <w:rsid w:val="00CE0A3C"/>
    <w:rsid w:val="00CE0A64"/>
    <w:rsid w:val="00CE0DA5"/>
    <w:rsid w:val="00CE1400"/>
    <w:rsid w:val="00CE1AAF"/>
    <w:rsid w:val="00CE2BFA"/>
    <w:rsid w:val="00CF3344"/>
    <w:rsid w:val="00CF60B5"/>
    <w:rsid w:val="00CF72F4"/>
    <w:rsid w:val="00D017AC"/>
    <w:rsid w:val="00D02A8C"/>
    <w:rsid w:val="00D02F38"/>
    <w:rsid w:val="00D03827"/>
    <w:rsid w:val="00D05DE8"/>
    <w:rsid w:val="00D06262"/>
    <w:rsid w:val="00D10BB8"/>
    <w:rsid w:val="00D1285A"/>
    <w:rsid w:val="00D12B43"/>
    <w:rsid w:val="00D15F46"/>
    <w:rsid w:val="00D16824"/>
    <w:rsid w:val="00D17F58"/>
    <w:rsid w:val="00D201D7"/>
    <w:rsid w:val="00D2036D"/>
    <w:rsid w:val="00D2168E"/>
    <w:rsid w:val="00D2313F"/>
    <w:rsid w:val="00D24D6E"/>
    <w:rsid w:val="00D252CB"/>
    <w:rsid w:val="00D3079F"/>
    <w:rsid w:val="00D31827"/>
    <w:rsid w:val="00D33FB6"/>
    <w:rsid w:val="00D3500F"/>
    <w:rsid w:val="00D35BD2"/>
    <w:rsid w:val="00D371B3"/>
    <w:rsid w:val="00D4653F"/>
    <w:rsid w:val="00D46709"/>
    <w:rsid w:val="00D4733E"/>
    <w:rsid w:val="00D50F88"/>
    <w:rsid w:val="00D52AB6"/>
    <w:rsid w:val="00D5391C"/>
    <w:rsid w:val="00D55136"/>
    <w:rsid w:val="00D55F3B"/>
    <w:rsid w:val="00D57FDC"/>
    <w:rsid w:val="00D60132"/>
    <w:rsid w:val="00D603D1"/>
    <w:rsid w:val="00D62274"/>
    <w:rsid w:val="00D632D3"/>
    <w:rsid w:val="00D6646A"/>
    <w:rsid w:val="00D66893"/>
    <w:rsid w:val="00D7166D"/>
    <w:rsid w:val="00D71C35"/>
    <w:rsid w:val="00D739BE"/>
    <w:rsid w:val="00D75E88"/>
    <w:rsid w:val="00D76DBB"/>
    <w:rsid w:val="00D77D17"/>
    <w:rsid w:val="00D80D3B"/>
    <w:rsid w:val="00D82BCB"/>
    <w:rsid w:val="00D82D97"/>
    <w:rsid w:val="00D8339E"/>
    <w:rsid w:val="00D843E3"/>
    <w:rsid w:val="00D855DF"/>
    <w:rsid w:val="00D956E1"/>
    <w:rsid w:val="00D9625C"/>
    <w:rsid w:val="00DA151F"/>
    <w:rsid w:val="00DA1AF1"/>
    <w:rsid w:val="00DA2C9F"/>
    <w:rsid w:val="00DA400C"/>
    <w:rsid w:val="00DA453C"/>
    <w:rsid w:val="00DB0988"/>
    <w:rsid w:val="00DB0DC2"/>
    <w:rsid w:val="00DB1258"/>
    <w:rsid w:val="00DB15B2"/>
    <w:rsid w:val="00DB38F3"/>
    <w:rsid w:val="00DB602D"/>
    <w:rsid w:val="00DB67C2"/>
    <w:rsid w:val="00DC1120"/>
    <w:rsid w:val="00DC53B9"/>
    <w:rsid w:val="00DD1BFC"/>
    <w:rsid w:val="00DD1EAE"/>
    <w:rsid w:val="00DD201E"/>
    <w:rsid w:val="00DD3C56"/>
    <w:rsid w:val="00DD40BD"/>
    <w:rsid w:val="00DD447F"/>
    <w:rsid w:val="00DD6ED6"/>
    <w:rsid w:val="00DE08EE"/>
    <w:rsid w:val="00DE26C6"/>
    <w:rsid w:val="00DE341F"/>
    <w:rsid w:val="00DE34A4"/>
    <w:rsid w:val="00DE4B44"/>
    <w:rsid w:val="00DE6323"/>
    <w:rsid w:val="00DF01A2"/>
    <w:rsid w:val="00DF248C"/>
    <w:rsid w:val="00DF25D5"/>
    <w:rsid w:val="00DF2CCC"/>
    <w:rsid w:val="00DF7C1A"/>
    <w:rsid w:val="00E01B9A"/>
    <w:rsid w:val="00E03633"/>
    <w:rsid w:val="00E06EB4"/>
    <w:rsid w:val="00E07E15"/>
    <w:rsid w:val="00E104B7"/>
    <w:rsid w:val="00E10561"/>
    <w:rsid w:val="00E1127A"/>
    <w:rsid w:val="00E12D9B"/>
    <w:rsid w:val="00E21308"/>
    <w:rsid w:val="00E21567"/>
    <w:rsid w:val="00E21DE2"/>
    <w:rsid w:val="00E229C3"/>
    <w:rsid w:val="00E261A3"/>
    <w:rsid w:val="00E27E25"/>
    <w:rsid w:val="00E304DD"/>
    <w:rsid w:val="00E30BAC"/>
    <w:rsid w:val="00E31F06"/>
    <w:rsid w:val="00E363DC"/>
    <w:rsid w:val="00E37BA9"/>
    <w:rsid w:val="00E37EF1"/>
    <w:rsid w:val="00E4156C"/>
    <w:rsid w:val="00E427B8"/>
    <w:rsid w:val="00E43545"/>
    <w:rsid w:val="00E43BA3"/>
    <w:rsid w:val="00E448E2"/>
    <w:rsid w:val="00E4716A"/>
    <w:rsid w:val="00E474E8"/>
    <w:rsid w:val="00E521F7"/>
    <w:rsid w:val="00E52E9D"/>
    <w:rsid w:val="00E536CE"/>
    <w:rsid w:val="00E55FC6"/>
    <w:rsid w:val="00E56A64"/>
    <w:rsid w:val="00E61144"/>
    <w:rsid w:val="00E6151E"/>
    <w:rsid w:val="00E62860"/>
    <w:rsid w:val="00E63ECB"/>
    <w:rsid w:val="00E70D5B"/>
    <w:rsid w:val="00E712F4"/>
    <w:rsid w:val="00E719C4"/>
    <w:rsid w:val="00E71BA6"/>
    <w:rsid w:val="00E7275C"/>
    <w:rsid w:val="00E7327D"/>
    <w:rsid w:val="00E762FE"/>
    <w:rsid w:val="00E77E73"/>
    <w:rsid w:val="00E80866"/>
    <w:rsid w:val="00E83B4B"/>
    <w:rsid w:val="00E83E02"/>
    <w:rsid w:val="00E8442D"/>
    <w:rsid w:val="00E86983"/>
    <w:rsid w:val="00E87E5C"/>
    <w:rsid w:val="00E91EF3"/>
    <w:rsid w:val="00E92A30"/>
    <w:rsid w:val="00E9507D"/>
    <w:rsid w:val="00E95B57"/>
    <w:rsid w:val="00E9684F"/>
    <w:rsid w:val="00E972E7"/>
    <w:rsid w:val="00E9750D"/>
    <w:rsid w:val="00E97541"/>
    <w:rsid w:val="00EA0959"/>
    <w:rsid w:val="00EA0B6A"/>
    <w:rsid w:val="00EA145B"/>
    <w:rsid w:val="00EA4648"/>
    <w:rsid w:val="00EA567C"/>
    <w:rsid w:val="00EA64A1"/>
    <w:rsid w:val="00EA69C2"/>
    <w:rsid w:val="00EA7C2A"/>
    <w:rsid w:val="00EB1364"/>
    <w:rsid w:val="00EB18D9"/>
    <w:rsid w:val="00EB2758"/>
    <w:rsid w:val="00EB78BE"/>
    <w:rsid w:val="00EC070F"/>
    <w:rsid w:val="00EC227A"/>
    <w:rsid w:val="00EC2C66"/>
    <w:rsid w:val="00EC3933"/>
    <w:rsid w:val="00EC65A3"/>
    <w:rsid w:val="00ED01AE"/>
    <w:rsid w:val="00ED207A"/>
    <w:rsid w:val="00ED2C5C"/>
    <w:rsid w:val="00ED34A3"/>
    <w:rsid w:val="00ED5A96"/>
    <w:rsid w:val="00ED6184"/>
    <w:rsid w:val="00ED61E6"/>
    <w:rsid w:val="00ED6C1E"/>
    <w:rsid w:val="00ED7C80"/>
    <w:rsid w:val="00EE03C5"/>
    <w:rsid w:val="00EE1193"/>
    <w:rsid w:val="00EE1C34"/>
    <w:rsid w:val="00EE1D22"/>
    <w:rsid w:val="00EE3D84"/>
    <w:rsid w:val="00EE73F7"/>
    <w:rsid w:val="00EF08C5"/>
    <w:rsid w:val="00EF0906"/>
    <w:rsid w:val="00EF2409"/>
    <w:rsid w:val="00EF2A03"/>
    <w:rsid w:val="00EF5176"/>
    <w:rsid w:val="00EF76C7"/>
    <w:rsid w:val="00F006D1"/>
    <w:rsid w:val="00F019C8"/>
    <w:rsid w:val="00F02A74"/>
    <w:rsid w:val="00F02A77"/>
    <w:rsid w:val="00F02DD4"/>
    <w:rsid w:val="00F02E93"/>
    <w:rsid w:val="00F0515B"/>
    <w:rsid w:val="00F05E37"/>
    <w:rsid w:val="00F06641"/>
    <w:rsid w:val="00F06667"/>
    <w:rsid w:val="00F076E0"/>
    <w:rsid w:val="00F07CF8"/>
    <w:rsid w:val="00F10C91"/>
    <w:rsid w:val="00F1448F"/>
    <w:rsid w:val="00F16868"/>
    <w:rsid w:val="00F17569"/>
    <w:rsid w:val="00F20B1A"/>
    <w:rsid w:val="00F21282"/>
    <w:rsid w:val="00F213E9"/>
    <w:rsid w:val="00F22FBC"/>
    <w:rsid w:val="00F23924"/>
    <w:rsid w:val="00F23B64"/>
    <w:rsid w:val="00F310F7"/>
    <w:rsid w:val="00F330B0"/>
    <w:rsid w:val="00F3344A"/>
    <w:rsid w:val="00F33775"/>
    <w:rsid w:val="00F337A5"/>
    <w:rsid w:val="00F338B6"/>
    <w:rsid w:val="00F346D4"/>
    <w:rsid w:val="00F34B84"/>
    <w:rsid w:val="00F36AE4"/>
    <w:rsid w:val="00F40BC4"/>
    <w:rsid w:val="00F40E01"/>
    <w:rsid w:val="00F42480"/>
    <w:rsid w:val="00F42BFC"/>
    <w:rsid w:val="00F434C5"/>
    <w:rsid w:val="00F474EC"/>
    <w:rsid w:val="00F51E2F"/>
    <w:rsid w:val="00F5392C"/>
    <w:rsid w:val="00F53C3C"/>
    <w:rsid w:val="00F62FF1"/>
    <w:rsid w:val="00F631D8"/>
    <w:rsid w:val="00F633D0"/>
    <w:rsid w:val="00F64CE9"/>
    <w:rsid w:val="00F653D2"/>
    <w:rsid w:val="00F65A51"/>
    <w:rsid w:val="00F70FBD"/>
    <w:rsid w:val="00F74091"/>
    <w:rsid w:val="00F76CBF"/>
    <w:rsid w:val="00F8108F"/>
    <w:rsid w:val="00F831EA"/>
    <w:rsid w:val="00F83F30"/>
    <w:rsid w:val="00F84569"/>
    <w:rsid w:val="00F84A7C"/>
    <w:rsid w:val="00F864D5"/>
    <w:rsid w:val="00F92893"/>
    <w:rsid w:val="00F932DA"/>
    <w:rsid w:val="00F940D4"/>
    <w:rsid w:val="00F969F1"/>
    <w:rsid w:val="00F977F5"/>
    <w:rsid w:val="00FA1BEC"/>
    <w:rsid w:val="00FA1C5D"/>
    <w:rsid w:val="00FA32B8"/>
    <w:rsid w:val="00FA56D9"/>
    <w:rsid w:val="00FB6E8F"/>
    <w:rsid w:val="00FB7D4A"/>
    <w:rsid w:val="00FC400A"/>
    <w:rsid w:val="00FC609F"/>
    <w:rsid w:val="00FC6595"/>
    <w:rsid w:val="00FC79B0"/>
    <w:rsid w:val="00FD1CDF"/>
    <w:rsid w:val="00FD26DB"/>
    <w:rsid w:val="00FD446F"/>
    <w:rsid w:val="00FD7720"/>
    <w:rsid w:val="00FE0051"/>
    <w:rsid w:val="00FE35D0"/>
    <w:rsid w:val="00FE5EF5"/>
    <w:rsid w:val="00FE67A5"/>
    <w:rsid w:val="00FE759A"/>
    <w:rsid w:val="00FE7B45"/>
    <w:rsid w:val="00FF0DD8"/>
    <w:rsid w:val="00FF0F70"/>
    <w:rsid w:val="00FF16FB"/>
    <w:rsid w:val="00FF1930"/>
    <w:rsid w:val="00FF2828"/>
    <w:rsid w:val="00FF3980"/>
    <w:rsid w:val="00FF4624"/>
    <w:rsid w:val="00FF56EB"/>
    <w:rsid w:val="00FF6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27F1389C"/>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link w:val="Heading2Char"/>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character" w:styleId="FootnoteReference">
    <w:name w:val="footnote reference"/>
    <w:unhideWhenUsed/>
    <w:rsid w:val="00FC400A"/>
    <w:rPr>
      <w:vertAlign w:val="superscript"/>
    </w:rPr>
  </w:style>
  <w:style w:type="paragraph" w:styleId="FootnoteText">
    <w:name w:val="footnote text"/>
    <w:basedOn w:val="Normal"/>
    <w:link w:val="FootnoteTextChar"/>
    <w:rsid w:val="00FC400A"/>
    <w:pPr>
      <w:spacing w:before="0" w:after="0"/>
    </w:pPr>
    <w:rPr>
      <w:sz w:val="20"/>
      <w:szCs w:val="20"/>
    </w:rPr>
  </w:style>
  <w:style w:type="character" w:customStyle="1" w:styleId="FootnoteTextChar">
    <w:name w:val="Footnote Text Char"/>
    <w:basedOn w:val="DefaultParagraphFont"/>
    <w:link w:val="FootnoteText"/>
    <w:rsid w:val="00FC400A"/>
    <w:rPr>
      <w:rFonts w:ascii="Arial" w:hAnsi="Arial"/>
    </w:rPr>
  </w:style>
  <w:style w:type="paragraph" w:styleId="ListParagraph">
    <w:name w:val="List Paragraph"/>
    <w:basedOn w:val="Normal"/>
    <w:uiPriority w:val="34"/>
    <w:qFormat/>
    <w:rsid w:val="009278A7"/>
    <w:pPr>
      <w:ind w:left="720"/>
      <w:contextualSpacing/>
    </w:pPr>
  </w:style>
  <w:style w:type="table" w:styleId="TableGrid">
    <w:name w:val="Table Grid"/>
    <w:basedOn w:val="TableNormal"/>
    <w:rsid w:val="0022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7626"/>
    <w:pPr>
      <w:spacing w:before="100" w:beforeAutospacing="1" w:after="100" w:afterAutospacing="1"/>
    </w:pPr>
    <w:rPr>
      <w:rFonts w:ascii="Times New Roman" w:hAnsi="Times New Roman"/>
    </w:rPr>
  </w:style>
  <w:style w:type="character" w:customStyle="1" w:styleId="Heading2Char">
    <w:name w:val="Heading 2 Char"/>
    <w:link w:val="Heading2"/>
    <w:rsid w:val="00F653D2"/>
    <w:rPr>
      <w:rFonts w:ascii="Arial" w:hAnsi="Arial" w:cs="Arial"/>
      <w:b/>
      <w:bCs/>
      <w:iCs/>
      <w:color w:val="4C8C2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4925">
      <w:bodyDiv w:val="1"/>
      <w:marLeft w:val="0"/>
      <w:marRight w:val="0"/>
      <w:marTop w:val="0"/>
      <w:marBottom w:val="0"/>
      <w:divBdr>
        <w:top w:val="none" w:sz="0" w:space="0" w:color="auto"/>
        <w:left w:val="none" w:sz="0" w:space="0" w:color="auto"/>
        <w:bottom w:val="none" w:sz="0" w:space="0" w:color="auto"/>
        <w:right w:val="none" w:sz="0" w:space="0" w:color="auto"/>
      </w:divBdr>
    </w:div>
    <w:div w:id="139083238">
      <w:bodyDiv w:val="1"/>
      <w:marLeft w:val="0"/>
      <w:marRight w:val="0"/>
      <w:marTop w:val="0"/>
      <w:marBottom w:val="0"/>
      <w:divBdr>
        <w:top w:val="none" w:sz="0" w:space="0" w:color="auto"/>
        <w:left w:val="none" w:sz="0" w:space="0" w:color="auto"/>
        <w:bottom w:val="none" w:sz="0" w:space="0" w:color="auto"/>
        <w:right w:val="none" w:sz="0" w:space="0" w:color="auto"/>
      </w:divBdr>
    </w:div>
    <w:div w:id="331225807">
      <w:bodyDiv w:val="1"/>
      <w:marLeft w:val="0"/>
      <w:marRight w:val="0"/>
      <w:marTop w:val="0"/>
      <w:marBottom w:val="0"/>
      <w:divBdr>
        <w:top w:val="none" w:sz="0" w:space="0" w:color="auto"/>
        <w:left w:val="none" w:sz="0" w:space="0" w:color="auto"/>
        <w:bottom w:val="none" w:sz="0" w:space="0" w:color="auto"/>
        <w:right w:val="none" w:sz="0" w:space="0" w:color="auto"/>
      </w:divBdr>
    </w:div>
    <w:div w:id="362900482">
      <w:bodyDiv w:val="1"/>
      <w:marLeft w:val="0"/>
      <w:marRight w:val="0"/>
      <w:marTop w:val="0"/>
      <w:marBottom w:val="0"/>
      <w:divBdr>
        <w:top w:val="none" w:sz="0" w:space="0" w:color="auto"/>
        <w:left w:val="none" w:sz="0" w:space="0" w:color="auto"/>
        <w:bottom w:val="none" w:sz="0" w:space="0" w:color="auto"/>
        <w:right w:val="none" w:sz="0" w:space="0" w:color="auto"/>
      </w:divBdr>
    </w:div>
    <w:div w:id="557134779">
      <w:bodyDiv w:val="1"/>
      <w:marLeft w:val="0"/>
      <w:marRight w:val="0"/>
      <w:marTop w:val="0"/>
      <w:marBottom w:val="0"/>
      <w:divBdr>
        <w:top w:val="none" w:sz="0" w:space="0" w:color="auto"/>
        <w:left w:val="none" w:sz="0" w:space="0" w:color="auto"/>
        <w:bottom w:val="none" w:sz="0" w:space="0" w:color="auto"/>
        <w:right w:val="none" w:sz="0" w:space="0" w:color="auto"/>
      </w:divBdr>
    </w:div>
    <w:div w:id="774011675">
      <w:bodyDiv w:val="1"/>
      <w:marLeft w:val="0"/>
      <w:marRight w:val="0"/>
      <w:marTop w:val="0"/>
      <w:marBottom w:val="0"/>
      <w:divBdr>
        <w:top w:val="none" w:sz="0" w:space="0" w:color="auto"/>
        <w:left w:val="none" w:sz="0" w:space="0" w:color="auto"/>
        <w:bottom w:val="none" w:sz="0" w:space="0" w:color="auto"/>
        <w:right w:val="none" w:sz="0" w:space="0" w:color="auto"/>
      </w:divBdr>
    </w:div>
    <w:div w:id="1314334376">
      <w:bodyDiv w:val="1"/>
      <w:marLeft w:val="0"/>
      <w:marRight w:val="0"/>
      <w:marTop w:val="0"/>
      <w:marBottom w:val="0"/>
      <w:divBdr>
        <w:top w:val="none" w:sz="0" w:space="0" w:color="auto"/>
        <w:left w:val="none" w:sz="0" w:space="0" w:color="auto"/>
        <w:bottom w:val="none" w:sz="0" w:space="0" w:color="auto"/>
        <w:right w:val="none" w:sz="0" w:space="0" w:color="auto"/>
      </w:divBdr>
    </w:div>
    <w:div w:id="1315794688">
      <w:bodyDiv w:val="1"/>
      <w:marLeft w:val="0"/>
      <w:marRight w:val="0"/>
      <w:marTop w:val="0"/>
      <w:marBottom w:val="0"/>
      <w:divBdr>
        <w:top w:val="none" w:sz="0" w:space="0" w:color="auto"/>
        <w:left w:val="none" w:sz="0" w:space="0" w:color="auto"/>
        <w:bottom w:val="none" w:sz="0" w:space="0" w:color="auto"/>
        <w:right w:val="none" w:sz="0" w:space="0" w:color="auto"/>
      </w:divBdr>
    </w:div>
    <w:div w:id="1680888167">
      <w:bodyDiv w:val="1"/>
      <w:marLeft w:val="0"/>
      <w:marRight w:val="0"/>
      <w:marTop w:val="0"/>
      <w:marBottom w:val="0"/>
      <w:divBdr>
        <w:top w:val="none" w:sz="0" w:space="0" w:color="auto"/>
        <w:left w:val="none" w:sz="0" w:space="0" w:color="auto"/>
        <w:bottom w:val="none" w:sz="0" w:space="0" w:color="auto"/>
        <w:right w:val="none" w:sz="0" w:space="0" w:color="auto"/>
      </w:divBdr>
    </w:div>
    <w:div w:id="1865704481">
      <w:bodyDiv w:val="1"/>
      <w:marLeft w:val="0"/>
      <w:marRight w:val="0"/>
      <w:marTop w:val="0"/>
      <w:marBottom w:val="0"/>
      <w:divBdr>
        <w:top w:val="none" w:sz="0" w:space="0" w:color="auto"/>
        <w:left w:val="none" w:sz="0" w:space="0" w:color="auto"/>
        <w:bottom w:val="none" w:sz="0" w:space="0" w:color="auto"/>
        <w:right w:val="none" w:sz="0" w:space="0" w:color="auto"/>
      </w:divBdr>
    </w:div>
    <w:div w:id="1888640545">
      <w:bodyDiv w:val="1"/>
      <w:marLeft w:val="0"/>
      <w:marRight w:val="0"/>
      <w:marTop w:val="0"/>
      <w:marBottom w:val="0"/>
      <w:divBdr>
        <w:top w:val="none" w:sz="0" w:space="0" w:color="auto"/>
        <w:left w:val="none" w:sz="0" w:space="0" w:color="auto"/>
        <w:bottom w:val="none" w:sz="0" w:space="0" w:color="auto"/>
        <w:right w:val="none" w:sz="0" w:space="0" w:color="auto"/>
      </w:divBdr>
    </w:div>
    <w:div w:id="20373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pc.gov.au/research/completed/housing-decisions-older-australians" TargetMode="External"/><Relationship Id="rId3" Type="http://schemas.openxmlformats.org/officeDocument/2006/relationships/styles" Target="styles.xml"/><Relationship Id="rId21" Type="http://schemas.openxmlformats.org/officeDocument/2006/relationships/hyperlink" Target="https://www.facs.nsw.gov.au/resources/nsw-local-government-housing-kit/chapters/local-government-housing-kit-databas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hyperlink" Target="https://www.aihw.gov.au/reports/disability/people-with-disability-in-australia/contents/housin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hyperlink" Target="https://homelessnessnsw.org.au/resource/specialist-homelessness-service-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ihw.gov.au/reports/disability/people-with-disability-in-australia/contents/people-with-disability/prevalence-of-disability" TargetMode="External"/><Relationship Id="rId32" Type="http://schemas.openxmlformats.org/officeDocument/2006/relationships/hyperlink" Target="https://www.abs.gov.au/statistics/people/housing/estimating-homelessness-census/2021"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www.aihw.gov.au/reports/australias-welfare/aged-care-for-indigenous-australians" TargetMode="External"/><Relationship Id="rId28" Type="http://schemas.openxmlformats.org/officeDocument/2006/relationships/hyperlink" Target="https://pp.planningportal.nsw.gov.au/populations" TargetMode="Externa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facs.nsw.gov.au/reforms/homelessness/premiers-priority-to-reduce-street-homelessness/street-cou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aihw.gov.au/reports/older-people/older-australians/contents/housing-and-living-arrangements" TargetMode="External"/><Relationship Id="rId27" Type="http://schemas.openxmlformats.org/officeDocument/2006/relationships/hyperlink" Target="https://www.planning.nsw.gov.au/Research-and-Demography/Population-Projections/Projections" TargetMode="External"/><Relationship Id="rId30" Type="http://schemas.openxmlformats.org/officeDocument/2006/relationships/hyperlink" Target="https://www.aihw.gov.au/reports/australias-welfare/homelessness-and-homelessness-services" TargetMode="Externa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0DEBA-AC94-4A2D-A165-148F0ADB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519</TotalTime>
  <Pages>15</Pages>
  <Words>3666</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24846</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West - What's the housing demand</dc:title>
  <dc:creator>Laura Yan Guo</dc:creator>
  <cp:lastModifiedBy>JOSHUA YOUKHANA</cp:lastModifiedBy>
  <cp:revision>70</cp:revision>
  <cp:lastPrinted>1900-12-31T14:00:00Z</cp:lastPrinted>
  <dcterms:created xsi:type="dcterms:W3CDTF">2023-02-15T23:23:00Z</dcterms:created>
  <dcterms:modified xsi:type="dcterms:W3CDTF">2023-09-11T23:49:00Z</dcterms:modified>
</cp:coreProperties>
</file>