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3A63" w14:textId="77777777" w:rsidR="00555F5C" w:rsidRDefault="00555F5C" w:rsidP="00555F5C">
      <w:pPr>
        <w:rPr>
          <w:b/>
          <w:color w:val="008000"/>
          <w:sz w:val="32"/>
        </w:rPr>
      </w:pPr>
      <w:r>
        <w:rPr>
          <w:b/>
          <w:color w:val="008000"/>
          <w:sz w:val="32"/>
        </w:rPr>
        <w:t xml:space="preserve">Riverina Murray Region </w:t>
      </w:r>
      <w:r w:rsidRPr="00CE3DDD">
        <w:rPr>
          <w:b/>
          <w:color w:val="008000"/>
          <w:sz w:val="32"/>
        </w:rPr>
        <w:t xml:space="preserve">– What’s </w:t>
      </w:r>
      <w:r w:rsidR="009D2867">
        <w:rPr>
          <w:b/>
          <w:color w:val="008000"/>
          <w:sz w:val="32"/>
        </w:rPr>
        <w:t xml:space="preserve">Happening in </w:t>
      </w:r>
      <w:r w:rsidRPr="00CE3DDD">
        <w:rPr>
          <w:b/>
          <w:color w:val="008000"/>
          <w:sz w:val="32"/>
        </w:rPr>
        <w:t>the Housing</w:t>
      </w:r>
      <w:r w:rsidR="009D2867">
        <w:rPr>
          <w:b/>
          <w:color w:val="008000"/>
          <w:sz w:val="32"/>
        </w:rPr>
        <w:t xml:space="preserve"> Market</w:t>
      </w:r>
      <w:r w:rsidRPr="00CE3DDD">
        <w:rPr>
          <w:b/>
          <w:color w:val="008000"/>
          <w:sz w:val="32"/>
        </w:rPr>
        <w:t>?</w:t>
      </w:r>
    </w:p>
    <w:p w14:paraId="12E983B2" w14:textId="0E6207D2" w:rsidR="00E2151E" w:rsidRDefault="00E2151E" w:rsidP="00E2151E">
      <w:pPr>
        <w:rPr>
          <w:sz w:val="22"/>
          <w:szCs w:val="22"/>
        </w:rPr>
      </w:pPr>
      <w:r>
        <w:rPr>
          <w:sz w:val="22"/>
          <w:szCs w:val="22"/>
        </w:rPr>
        <w:t xml:space="preserve">This Housing Snapshot looks at aspects of the housing market in the Riverina Murray, particularly from the 2016 Census to the 2021 Census – including rents, vacancy rate, affordable private rental for very low and low income households, rental stress for low income households, number of new bonds lodged affordable to low income households, sales price, purchase affordability for very low and low income households and purchase stress for low income households. </w:t>
      </w:r>
    </w:p>
    <w:p w14:paraId="5184B836" w14:textId="5B60DCBD" w:rsidR="009D2867" w:rsidRPr="00E1287E" w:rsidRDefault="009D2867" w:rsidP="009D2867">
      <w:pPr>
        <w:rPr>
          <w:sz w:val="22"/>
          <w:szCs w:val="22"/>
          <w:highlight w:val="yellow"/>
        </w:rPr>
      </w:pPr>
      <w:r w:rsidRPr="00E1287E">
        <w:rPr>
          <w:sz w:val="22"/>
          <w:szCs w:val="22"/>
        </w:rPr>
        <w:t xml:space="preserve">The Riverina Murray region covers twenty local government areas and 114,309 square kilometres, with several regional centres including Albury, Wagga Wagga and Griffith.  Historically this region has been more affordable relative to </w:t>
      </w:r>
      <w:r w:rsidR="00E2151E">
        <w:rPr>
          <w:sz w:val="22"/>
          <w:szCs w:val="22"/>
        </w:rPr>
        <w:t>coastal</w:t>
      </w:r>
      <w:r w:rsidRPr="00E1287E">
        <w:rPr>
          <w:sz w:val="22"/>
          <w:szCs w:val="22"/>
        </w:rPr>
        <w:t xml:space="preserve"> regions within the state, however, the housing market is not uniform across the region.  There are significant differences in population growth and decline, as well as rent and purchase price and affordability.  The low vacancy rates in the private rental market indicate an undersupply of private rental housing and some LGAs have high proportions of residents in rental stress.  </w:t>
      </w:r>
    </w:p>
    <w:p w14:paraId="6B9BDE0F" w14:textId="77777777" w:rsidR="009D2867" w:rsidRPr="00B86ACC" w:rsidRDefault="009D2867" w:rsidP="009D2867"/>
    <w:p w14:paraId="55A2DB9C" w14:textId="77777777" w:rsidR="009D2867" w:rsidRPr="00B86ACC" w:rsidRDefault="009D2867" w:rsidP="009D2867">
      <w:pPr>
        <w:rPr>
          <w:b/>
          <w:bCs/>
          <w:i/>
          <w:color w:val="008000"/>
          <w:sz w:val="32"/>
        </w:rPr>
      </w:pPr>
      <w:r w:rsidRPr="00B86ACC">
        <w:rPr>
          <w:b/>
          <w:bCs/>
          <w:i/>
          <w:color w:val="008000"/>
          <w:sz w:val="32"/>
        </w:rPr>
        <w:t>Housing Market - Rental</w:t>
      </w:r>
    </w:p>
    <w:p w14:paraId="63CFDABE" w14:textId="77777777" w:rsidR="009D2867" w:rsidRPr="00B47A3E" w:rsidRDefault="009D2867" w:rsidP="009D2867">
      <w:pPr>
        <w:rPr>
          <w:b/>
          <w:color w:val="008000"/>
          <w:sz w:val="32"/>
        </w:rPr>
      </w:pPr>
      <w:r w:rsidRPr="00B47A3E">
        <w:rPr>
          <w:b/>
          <w:color w:val="008000"/>
          <w:sz w:val="32"/>
        </w:rPr>
        <w:t>Rents</w:t>
      </w:r>
    </w:p>
    <w:p w14:paraId="38079A84" w14:textId="3B4BB9E1" w:rsidR="003258CD" w:rsidRPr="00E834D1" w:rsidRDefault="003258CD" w:rsidP="003258CD">
      <w:pPr>
        <w:numPr>
          <w:ilvl w:val="0"/>
          <w:numId w:val="18"/>
        </w:numPr>
        <w:spacing w:before="0" w:after="0"/>
        <w:jc w:val="both"/>
        <w:rPr>
          <w:sz w:val="22"/>
          <w:szCs w:val="22"/>
        </w:rPr>
      </w:pPr>
      <w:r w:rsidRPr="00E834D1">
        <w:rPr>
          <w:sz w:val="22"/>
          <w:szCs w:val="22"/>
        </w:rPr>
        <w:t xml:space="preserve">Looking at all residential rentals combined </w:t>
      </w:r>
      <w:r w:rsidR="00421629">
        <w:rPr>
          <w:sz w:val="22"/>
          <w:szCs w:val="22"/>
        </w:rPr>
        <w:t>(houses, units and all bedroom types)</w:t>
      </w:r>
      <w:r w:rsidRPr="00E834D1">
        <w:rPr>
          <w:sz w:val="22"/>
          <w:szCs w:val="22"/>
        </w:rPr>
        <w:t>,</w:t>
      </w:r>
      <w:r w:rsidR="00421629">
        <w:rPr>
          <w:sz w:val="22"/>
          <w:szCs w:val="22"/>
        </w:rPr>
        <w:t xml:space="preserve"> </w:t>
      </w:r>
      <w:r w:rsidR="00501C9D">
        <w:rPr>
          <w:sz w:val="22"/>
          <w:szCs w:val="22"/>
        </w:rPr>
        <w:t xml:space="preserve">clearly median </w:t>
      </w:r>
      <w:r w:rsidR="00421629">
        <w:rPr>
          <w:sz w:val="22"/>
          <w:szCs w:val="22"/>
        </w:rPr>
        <w:t>rents have increased across the region</w:t>
      </w:r>
      <w:r w:rsidR="00501C9D">
        <w:rPr>
          <w:sz w:val="22"/>
          <w:szCs w:val="22"/>
        </w:rPr>
        <w:t>, particularly since 2005</w:t>
      </w:r>
      <w:r w:rsidRPr="00E834D1">
        <w:rPr>
          <w:sz w:val="22"/>
          <w:szCs w:val="22"/>
        </w:rPr>
        <w:t xml:space="preserve">. However, the period from 2019 to 2022 has been more </w:t>
      </w:r>
      <w:r>
        <w:rPr>
          <w:sz w:val="22"/>
          <w:szCs w:val="22"/>
        </w:rPr>
        <w:t xml:space="preserve">varied and </w:t>
      </w:r>
      <w:r w:rsidRPr="00E834D1">
        <w:rPr>
          <w:sz w:val="22"/>
          <w:szCs w:val="22"/>
        </w:rPr>
        <w:t>complex.</w:t>
      </w:r>
    </w:p>
    <w:p w14:paraId="16BF9E96" w14:textId="77777777" w:rsidR="003258CD" w:rsidRDefault="003258CD" w:rsidP="003258CD">
      <w:pPr>
        <w:numPr>
          <w:ilvl w:val="0"/>
          <w:numId w:val="18"/>
        </w:numPr>
        <w:spacing w:before="0" w:after="0"/>
        <w:jc w:val="both"/>
        <w:rPr>
          <w:sz w:val="22"/>
          <w:szCs w:val="22"/>
        </w:rPr>
      </w:pPr>
      <w:r>
        <w:rPr>
          <w:sz w:val="22"/>
          <w:szCs w:val="22"/>
        </w:rPr>
        <w:t xml:space="preserve">The graph below shows the increase in median rents for all dwellings (including all bedroom categories) in each Central West and Orana LGA from June 1990 to June 2022.  </w:t>
      </w:r>
    </w:p>
    <w:p w14:paraId="656D0684" w14:textId="77777777" w:rsidR="003258CD" w:rsidRDefault="003258CD" w:rsidP="003258CD">
      <w:pPr>
        <w:spacing w:before="0" w:after="0"/>
        <w:rPr>
          <w:sz w:val="22"/>
          <w:szCs w:val="22"/>
        </w:rPr>
      </w:pPr>
    </w:p>
    <w:p w14:paraId="229FD3C4" w14:textId="77777777" w:rsidR="003258CD" w:rsidRDefault="00501C9D" w:rsidP="003258CD">
      <w:pPr>
        <w:spacing w:before="0" w:after="0"/>
        <w:rPr>
          <w:sz w:val="22"/>
          <w:szCs w:val="22"/>
        </w:rPr>
      </w:pPr>
      <w:r>
        <w:rPr>
          <w:noProof/>
          <w:sz w:val="22"/>
          <w:szCs w:val="22"/>
        </w:rPr>
        <w:drawing>
          <wp:inline distT="0" distB="0" distL="0" distR="0" wp14:anchorId="64DE712C" wp14:editId="233B25AA">
            <wp:extent cx="6076950" cy="2886885"/>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0250" cy="2931208"/>
                    </a:xfrm>
                    <a:prstGeom prst="rect">
                      <a:avLst/>
                    </a:prstGeom>
                    <a:noFill/>
                  </pic:spPr>
                </pic:pic>
              </a:graphicData>
            </a:graphic>
          </wp:inline>
        </w:drawing>
      </w:r>
    </w:p>
    <w:p w14:paraId="688BC990" w14:textId="77777777" w:rsidR="003258CD" w:rsidRDefault="003258CD" w:rsidP="003258CD">
      <w:pPr>
        <w:spacing w:before="0" w:after="0"/>
        <w:rPr>
          <w:sz w:val="22"/>
          <w:szCs w:val="22"/>
        </w:rPr>
      </w:pPr>
    </w:p>
    <w:p w14:paraId="55C07E77" w14:textId="25D4F68C" w:rsidR="003258CD" w:rsidRDefault="003478B8" w:rsidP="003478B8">
      <w:pPr>
        <w:pStyle w:val="ListParagraph"/>
        <w:numPr>
          <w:ilvl w:val="0"/>
          <w:numId w:val="36"/>
        </w:numPr>
        <w:spacing w:before="0" w:after="0"/>
        <w:rPr>
          <w:sz w:val="22"/>
          <w:szCs w:val="22"/>
        </w:rPr>
      </w:pPr>
      <w:r>
        <w:rPr>
          <w:sz w:val="22"/>
          <w:szCs w:val="22"/>
        </w:rPr>
        <w:t>Between 2017 and 2022 median rents increased across the region, except</w:t>
      </w:r>
      <w:r w:rsidR="00BF1779">
        <w:rPr>
          <w:sz w:val="22"/>
          <w:szCs w:val="22"/>
        </w:rPr>
        <w:t xml:space="preserve"> for</w:t>
      </w:r>
      <w:r>
        <w:rPr>
          <w:sz w:val="22"/>
          <w:szCs w:val="22"/>
        </w:rPr>
        <w:t xml:space="preserve"> Hay which declined by -5.6% and noting insufficient data in </w:t>
      </w:r>
      <w:proofErr w:type="spellStart"/>
      <w:r>
        <w:rPr>
          <w:sz w:val="22"/>
          <w:szCs w:val="22"/>
        </w:rPr>
        <w:t>Carathool</w:t>
      </w:r>
      <w:proofErr w:type="spellEnd"/>
      <w:r>
        <w:rPr>
          <w:sz w:val="22"/>
          <w:szCs w:val="22"/>
        </w:rPr>
        <w:t xml:space="preserve"> and Coolamon to calculate median rents.  In the remaining LGA’s, increases ranged between 19.4% in Murray River and 80.0% in Bland, with the largest increases in dollar terms being in Bland ($168 per week increase between 2017 and 2022), Albury and Greater Hume ($1</w:t>
      </w:r>
      <w:r w:rsidR="00BF1779">
        <w:rPr>
          <w:sz w:val="22"/>
          <w:szCs w:val="22"/>
        </w:rPr>
        <w:t>1</w:t>
      </w:r>
      <w:r>
        <w:rPr>
          <w:sz w:val="22"/>
          <w:szCs w:val="22"/>
        </w:rPr>
        <w:t>0 per week), Gundagai ($102) and Griffith and Wagga Wagga ($100).</w:t>
      </w:r>
    </w:p>
    <w:p w14:paraId="54C07D50" w14:textId="6326D1AA" w:rsidR="003478B8" w:rsidRDefault="003478B8" w:rsidP="003478B8">
      <w:pPr>
        <w:pStyle w:val="ListParagraph"/>
        <w:numPr>
          <w:ilvl w:val="0"/>
          <w:numId w:val="36"/>
        </w:numPr>
        <w:spacing w:before="0" w:after="0"/>
        <w:rPr>
          <w:sz w:val="22"/>
          <w:szCs w:val="22"/>
        </w:rPr>
      </w:pPr>
      <w:r>
        <w:rPr>
          <w:sz w:val="22"/>
          <w:szCs w:val="22"/>
        </w:rPr>
        <w:t>The table below sho</w:t>
      </w:r>
      <w:r w:rsidR="00BF1779">
        <w:rPr>
          <w:sz w:val="22"/>
          <w:szCs w:val="22"/>
        </w:rPr>
        <w:t>w</w:t>
      </w:r>
      <w:r>
        <w:rPr>
          <w:sz w:val="22"/>
          <w:szCs w:val="22"/>
        </w:rPr>
        <w:t>s the change in median rents across the Riverina Murray LGAs between September 2017 and September 2022.</w:t>
      </w:r>
    </w:p>
    <w:p w14:paraId="779436FB" w14:textId="77777777" w:rsidR="003478B8" w:rsidRPr="003478B8" w:rsidRDefault="003478B8" w:rsidP="003478B8">
      <w:pPr>
        <w:spacing w:before="0" w:after="0"/>
        <w:rPr>
          <w:sz w:val="22"/>
          <w:szCs w:val="22"/>
        </w:rPr>
      </w:pPr>
    </w:p>
    <w:p w14:paraId="0C0E41FC" w14:textId="77777777" w:rsidR="003478B8" w:rsidRDefault="003478B8" w:rsidP="003478B8">
      <w:pPr>
        <w:spacing w:before="0" w:after="0"/>
        <w:ind w:firstLine="360"/>
        <w:rPr>
          <w:sz w:val="22"/>
          <w:szCs w:val="22"/>
        </w:rPr>
      </w:pPr>
      <w:r w:rsidRPr="003478B8">
        <w:rPr>
          <w:noProof/>
        </w:rPr>
        <w:drawing>
          <wp:inline distT="0" distB="0" distL="0" distR="0" wp14:anchorId="125D9090" wp14:editId="2A7FAF9E">
            <wp:extent cx="4001770" cy="420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1770" cy="4203700"/>
                    </a:xfrm>
                    <a:prstGeom prst="rect">
                      <a:avLst/>
                    </a:prstGeom>
                    <a:noFill/>
                    <a:ln>
                      <a:noFill/>
                    </a:ln>
                  </pic:spPr>
                </pic:pic>
              </a:graphicData>
            </a:graphic>
          </wp:inline>
        </w:drawing>
      </w:r>
    </w:p>
    <w:p w14:paraId="1A060B55" w14:textId="77777777" w:rsidR="003258CD" w:rsidRDefault="003258CD" w:rsidP="003258CD">
      <w:pPr>
        <w:spacing w:before="0" w:after="0"/>
        <w:rPr>
          <w:sz w:val="22"/>
          <w:szCs w:val="22"/>
        </w:rPr>
      </w:pPr>
    </w:p>
    <w:p w14:paraId="74ED8ADA" w14:textId="6091B310" w:rsidR="003258CD" w:rsidRPr="00501C9D" w:rsidRDefault="003478B8" w:rsidP="00501C9D">
      <w:pPr>
        <w:pStyle w:val="ListParagraph"/>
        <w:numPr>
          <w:ilvl w:val="0"/>
          <w:numId w:val="31"/>
        </w:numPr>
        <w:spacing w:before="0" w:after="0"/>
        <w:rPr>
          <w:sz w:val="22"/>
          <w:szCs w:val="22"/>
        </w:rPr>
      </w:pPr>
      <w:r>
        <w:rPr>
          <w:sz w:val="22"/>
          <w:szCs w:val="22"/>
        </w:rPr>
        <w:t>However, the changes to median rents over this period were more nuanced</w:t>
      </w:r>
      <w:r w:rsidR="00116790">
        <w:rPr>
          <w:sz w:val="22"/>
          <w:szCs w:val="22"/>
        </w:rPr>
        <w:t xml:space="preserve"> than the table above indicates</w:t>
      </w:r>
      <w:r>
        <w:rPr>
          <w:sz w:val="22"/>
          <w:szCs w:val="22"/>
        </w:rPr>
        <w:t xml:space="preserve">.  </w:t>
      </w:r>
      <w:r w:rsidR="003258CD" w:rsidRPr="0079644A">
        <w:rPr>
          <w:sz w:val="22"/>
          <w:szCs w:val="22"/>
        </w:rPr>
        <w:t xml:space="preserve">Between 2019 and 2020 when Covid lockdowns were introduced, there were generally lower increases, and in some cases decreases in median rents.  </w:t>
      </w:r>
      <w:r w:rsidR="00501C9D">
        <w:rPr>
          <w:sz w:val="22"/>
          <w:szCs w:val="22"/>
        </w:rPr>
        <w:t>In this 12 month period, declines in median rents occurred in Albury</w:t>
      </w:r>
      <w:r w:rsidR="001179D0">
        <w:rPr>
          <w:sz w:val="22"/>
          <w:szCs w:val="22"/>
        </w:rPr>
        <w:t xml:space="preserve"> (-1.3%), Berrigan (-17.6%), Snowy Valleys(-1.5%) and Wagga Wagga</w:t>
      </w:r>
      <w:r w:rsidR="00501C9D">
        <w:rPr>
          <w:sz w:val="22"/>
          <w:szCs w:val="22"/>
        </w:rPr>
        <w:t xml:space="preserve"> </w:t>
      </w:r>
      <w:r w:rsidR="001179D0">
        <w:rPr>
          <w:sz w:val="22"/>
          <w:szCs w:val="22"/>
        </w:rPr>
        <w:t xml:space="preserve">(-1.7%) </w:t>
      </w:r>
      <w:r w:rsidR="00501C9D">
        <w:rPr>
          <w:sz w:val="22"/>
          <w:szCs w:val="22"/>
        </w:rPr>
        <w:t>for four bedroom homes</w:t>
      </w:r>
      <w:r w:rsidR="001179D0">
        <w:rPr>
          <w:sz w:val="22"/>
          <w:szCs w:val="22"/>
        </w:rPr>
        <w:t>; in Greater Hume (-1.8%), Junee (-3.4%), Leeton (-5.0%), Narrandera (-2.0%) and Wagga Wagga (-3.0%) for three bedroom homes; and in Murray River (-11.5%) and Snowy Valleys (-4.3%) for two bedroom homes</w:t>
      </w:r>
      <w:r w:rsidR="003258CD" w:rsidRPr="00501C9D">
        <w:rPr>
          <w:sz w:val="22"/>
          <w:szCs w:val="22"/>
        </w:rPr>
        <w:t>.</w:t>
      </w:r>
    </w:p>
    <w:p w14:paraId="57F4B844" w14:textId="3EF797FA" w:rsidR="003258CD" w:rsidRPr="00816853" w:rsidRDefault="003258CD" w:rsidP="003258CD">
      <w:pPr>
        <w:pStyle w:val="ListParagraph"/>
        <w:numPr>
          <w:ilvl w:val="0"/>
          <w:numId w:val="18"/>
        </w:numPr>
        <w:spacing w:before="0" w:after="0"/>
        <w:rPr>
          <w:sz w:val="22"/>
          <w:szCs w:val="22"/>
        </w:rPr>
      </w:pPr>
      <w:r w:rsidRPr="00816853">
        <w:rPr>
          <w:sz w:val="22"/>
          <w:szCs w:val="22"/>
        </w:rPr>
        <w:t xml:space="preserve">Nevertheless, over the same period </w:t>
      </w:r>
      <w:r w:rsidR="001179D0">
        <w:rPr>
          <w:sz w:val="22"/>
          <w:szCs w:val="22"/>
        </w:rPr>
        <w:t>Edward River</w:t>
      </w:r>
      <w:r w:rsidRPr="00816853">
        <w:rPr>
          <w:sz w:val="22"/>
          <w:szCs w:val="22"/>
        </w:rPr>
        <w:t xml:space="preserve"> experienced strong median rental increases particularly for one (</w:t>
      </w:r>
      <w:r w:rsidR="001179D0">
        <w:rPr>
          <w:sz w:val="22"/>
          <w:szCs w:val="22"/>
        </w:rPr>
        <w:t>16.7</w:t>
      </w:r>
      <w:r w:rsidRPr="00816853">
        <w:rPr>
          <w:sz w:val="22"/>
          <w:szCs w:val="22"/>
        </w:rPr>
        <w:t xml:space="preserve">%) and </w:t>
      </w:r>
      <w:r w:rsidR="001179D0">
        <w:rPr>
          <w:sz w:val="22"/>
          <w:szCs w:val="22"/>
        </w:rPr>
        <w:t>two</w:t>
      </w:r>
      <w:r w:rsidRPr="00816853">
        <w:rPr>
          <w:sz w:val="22"/>
          <w:szCs w:val="22"/>
        </w:rPr>
        <w:t xml:space="preserve"> bedroom properties (</w:t>
      </w:r>
      <w:r w:rsidR="00C10012">
        <w:rPr>
          <w:sz w:val="22"/>
          <w:szCs w:val="22"/>
        </w:rPr>
        <w:t>25.0</w:t>
      </w:r>
      <w:r w:rsidRPr="00816853">
        <w:rPr>
          <w:sz w:val="22"/>
          <w:szCs w:val="22"/>
        </w:rPr>
        <w:t xml:space="preserve">%), along with </w:t>
      </w:r>
      <w:r w:rsidR="00C10012">
        <w:rPr>
          <w:sz w:val="22"/>
          <w:szCs w:val="22"/>
        </w:rPr>
        <w:t>Lockhart</w:t>
      </w:r>
      <w:r w:rsidRPr="00816853">
        <w:rPr>
          <w:sz w:val="22"/>
          <w:szCs w:val="22"/>
        </w:rPr>
        <w:t xml:space="preserve"> (15.0% for two bed), while </w:t>
      </w:r>
      <w:r>
        <w:rPr>
          <w:sz w:val="22"/>
          <w:szCs w:val="22"/>
        </w:rPr>
        <w:t xml:space="preserve">some LGAs saw </w:t>
      </w:r>
      <w:r w:rsidRPr="00816853">
        <w:rPr>
          <w:sz w:val="22"/>
          <w:szCs w:val="22"/>
        </w:rPr>
        <w:t xml:space="preserve">no </w:t>
      </w:r>
      <w:r w:rsidRPr="00816853">
        <w:rPr>
          <w:sz w:val="22"/>
          <w:szCs w:val="22"/>
        </w:rPr>
        <w:lastRenderedPageBreak/>
        <w:t>change at all in median rents</w:t>
      </w:r>
      <w:r>
        <w:rPr>
          <w:sz w:val="22"/>
          <w:szCs w:val="22"/>
        </w:rPr>
        <w:t xml:space="preserve"> in some bedroom categories (</w:t>
      </w:r>
      <w:r w:rsidR="00C10012">
        <w:rPr>
          <w:sz w:val="22"/>
          <w:szCs w:val="22"/>
        </w:rPr>
        <w:t>Berrigan, Bland, Federation</w:t>
      </w:r>
      <w:r>
        <w:rPr>
          <w:sz w:val="22"/>
          <w:szCs w:val="22"/>
        </w:rPr>
        <w:t>)</w:t>
      </w:r>
      <w:r w:rsidRPr="00816853">
        <w:rPr>
          <w:sz w:val="22"/>
          <w:szCs w:val="22"/>
        </w:rPr>
        <w:t>.</w:t>
      </w:r>
    </w:p>
    <w:p w14:paraId="624DF845" w14:textId="77777777" w:rsidR="003258CD" w:rsidRDefault="003258CD" w:rsidP="003258CD">
      <w:pPr>
        <w:pStyle w:val="ListParagraph"/>
        <w:numPr>
          <w:ilvl w:val="0"/>
          <w:numId w:val="18"/>
        </w:numPr>
        <w:spacing w:before="0" w:after="0"/>
        <w:rPr>
          <w:sz w:val="22"/>
          <w:szCs w:val="22"/>
        </w:rPr>
      </w:pPr>
      <w:r>
        <w:rPr>
          <w:sz w:val="22"/>
          <w:szCs w:val="22"/>
        </w:rPr>
        <w:t xml:space="preserve">The table below gives the weekly median rents in dollar terms and the changes between 2019 and 2020 for </w:t>
      </w:r>
      <w:r w:rsidR="00C10012">
        <w:rPr>
          <w:sz w:val="22"/>
          <w:szCs w:val="22"/>
        </w:rPr>
        <w:t xml:space="preserve">Riverina Murray </w:t>
      </w:r>
      <w:r>
        <w:rPr>
          <w:sz w:val="22"/>
          <w:szCs w:val="22"/>
        </w:rPr>
        <w:t>LGAs.</w:t>
      </w:r>
    </w:p>
    <w:p w14:paraId="643A5AA9" w14:textId="77777777" w:rsidR="003258CD" w:rsidRDefault="003258CD" w:rsidP="003258CD">
      <w:pPr>
        <w:spacing w:before="0" w:after="0"/>
        <w:rPr>
          <w:sz w:val="22"/>
          <w:szCs w:val="22"/>
        </w:rPr>
      </w:pPr>
    </w:p>
    <w:p w14:paraId="2DB4FF4E" w14:textId="77777777" w:rsidR="003258CD" w:rsidRDefault="003258CD" w:rsidP="003258CD">
      <w:pPr>
        <w:spacing w:before="0" w:after="0"/>
        <w:rPr>
          <w:sz w:val="22"/>
          <w:szCs w:val="22"/>
        </w:rPr>
      </w:pPr>
    </w:p>
    <w:p w14:paraId="13B31B1F" w14:textId="77777777" w:rsidR="003258CD" w:rsidRDefault="003258CD" w:rsidP="003258CD">
      <w:pPr>
        <w:spacing w:before="0" w:after="0"/>
        <w:rPr>
          <w:sz w:val="22"/>
          <w:szCs w:val="22"/>
        </w:rPr>
      </w:pPr>
      <w:r w:rsidRPr="003258CD">
        <w:rPr>
          <w:noProof/>
        </w:rPr>
        <w:drawing>
          <wp:inline distT="0" distB="0" distL="0" distR="0" wp14:anchorId="7F8108ED" wp14:editId="144065B6">
            <wp:extent cx="6084972" cy="2266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0768" cy="2269109"/>
                    </a:xfrm>
                    <a:prstGeom prst="rect">
                      <a:avLst/>
                    </a:prstGeom>
                    <a:noFill/>
                    <a:ln>
                      <a:noFill/>
                    </a:ln>
                  </pic:spPr>
                </pic:pic>
              </a:graphicData>
            </a:graphic>
          </wp:inline>
        </w:drawing>
      </w:r>
    </w:p>
    <w:p w14:paraId="59242830" w14:textId="77777777" w:rsidR="003258CD" w:rsidRDefault="003258CD" w:rsidP="003258CD">
      <w:pPr>
        <w:spacing w:before="0" w:after="0"/>
        <w:rPr>
          <w:sz w:val="22"/>
          <w:szCs w:val="22"/>
        </w:rPr>
      </w:pPr>
    </w:p>
    <w:p w14:paraId="5B268E8E" w14:textId="77777777" w:rsidR="003258CD" w:rsidRDefault="003258CD" w:rsidP="003258CD">
      <w:pPr>
        <w:spacing w:before="0" w:after="0"/>
        <w:rPr>
          <w:sz w:val="22"/>
          <w:szCs w:val="22"/>
        </w:rPr>
      </w:pPr>
    </w:p>
    <w:p w14:paraId="7137C49C" w14:textId="77777777" w:rsidR="000B58A6" w:rsidRDefault="00421629" w:rsidP="00421629">
      <w:pPr>
        <w:pStyle w:val="ListParagraph"/>
        <w:numPr>
          <w:ilvl w:val="0"/>
          <w:numId w:val="18"/>
        </w:numPr>
        <w:spacing w:before="0" w:after="0"/>
        <w:jc w:val="both"/>
        <w:rPr>
          <w:sz w:val="22"/>
          <w:szCs w:val="22"/>
        </w:rPr>
      </w:pPr>
      <w:r>
        <w:rPr>
          <w:sz w:val="22"/>
          <w:szCs w:val="22"/>
        </w:rPr>
        <w:t xml:space="preserve">Between June 2020 and June 2022 a </w:t>
      </w:r>
      <w:r w:rsidR="000B58A6">
        <w:rPr>
          <w:sz w:val="22"/>
          <w:szCs w:val="22"/>
        </w:rPr>
        <w:t xml:space="preserve">more varied </w:t>
      </w:r>
      <w:r>
        <w:rPr>
          <w:sz w:val="22"/>
          <w:szCs w:val="22"/>
        </w:rPr>
        <w:t>pattern emerges</w:t>
      </w:r>
      <w:r w:rsidR="000B58A6">
        <w:rPr>
          <w:sz w:val="22"/>
          <w:szCs w:val="22"/>
        </w:rPr>
        <w:t>.  While every LGA in Riverina Murray, excepting Berrigan</w:t>
      </w:r>
      <w:r>
        <w:rPr>
          <w:sz w:val="22"/>
          <w:szCs w:val="22"/>
        </w:rPr>
        <w:t>,</w:t>
      </w:r>
      <w:r w:rsidR="000B58A6">
        <w:rPr>
          <w:sz w:val="22"/>
          <w:szCs w:val="22"/>
        </w:rPr>
        <w:t xml:space="preserve"> experienced a decline in median rents for three bedroom homes (ranging between </w:t>
      </w:r>
      <w:r w:rsidR="00547E44">
        <w:rPr>
          <w:sz w:val="22"/>
          <w:szCs w:val="22"/>
        </w:rPr>
        <w:t>-1.6% in Albury and -17.9% in Edward River), every other bedroom category saw growth in median rents across the region.  Increases ranged between 3.2% for two bedroom homes in Griffith to 40.6% for four bedroom homes in Federation.</w:t>
      </w:r>
    </w:p>
    <w:p w14:paraId="037E8B83" w14:textId="05C3C361" w:rsidR="00547E44" w:rsidRDefault="00547E44" w:rsidP="00547E44">
      <w:pPr>
        <w:pStyle w:val="ListParagraph"/>
        <w:numPr>
          <w:ilvl w:val="0"/>
          <w:numId w:val="18"/>
        </w:numPr>
        <w:spacing w:before="0" w:after="0"/>
        <w:jc w:val="both"/>
        <w:rPr>
          <w:sz w:val="22"/>
          <w:szCs w:val="22"/>
        </w:rPr>
      </w:pPr>
      <w:r w:rsidRPr="00BA1BD8">
        <w:rPr>
          <w:sz w:val="22"/>
          <w:szCs w:val="22"/>
        </w:rPr>
        <w:t>At June 2022, median rents for one</w:t>
      </w:r>
      <w:r>
        <w:rPr>
          <w:sz w:val="22"/>
          <w:szCs w:val="22"/>
        </w:rPr>
        <w:t xml:space="preserve"> bedroom homes were highest in Junee ($300 per week); </w:t>
      </w:r>
      <w:r w:rsidR="00695FE8">
        <w:rPr>
          <w:sz w:val="22"/>
          <w:szCs w:val="22"/>
        </w:rPr>
        <w:t xml:space="preserve">in Griffith for two and </w:t>
      </w:r>
      <w:r w:rsidR="00285893">
        <w:rPr>
          <w:sz w:val="22"/>
          <w:szCs w:val="22"/>
        </w:rPr>
        <w:t xml:space="preserve">three </w:t>
      </w:r>
      <w:r w:rsidR="00695FE8">
        <w:rPr>
          <w:sz w:val="22"/>
          <w:szCs w:val="22"/>
        </w:rPr>
        <w:t>bedroom homes (both $320); and in Wagga Wagga for four or more bedroom homes ($500 per week).</w:t>
      </w:r>
    </w:p>
    <w:p w14:paraId="28BAD75D" w14:textId="77777777" w:rsidR="003258CD" w:rsidRPr="00695FE8" w:rsidRDefault="003258CD" w:rsidP="00695FE8">
      <w:pPr>
        <w:pStyle w:val="ListParagraph"/>
        <w:spacing w:before="0" w:after="0"/>
        <w:ind w:left="360"/>
        <w:jc w:val="both"/>
        <w:rPr>
          <w:sz w:val="22"/>
          <w:szCs w:val="22"/>
        </w:rPr>
      </w:pPr>
    </w:p>
    <w:p w14:paraId="22E4DC29" w14:textId="77777777" w:rsidR="003258CD" w:rsidRDefault="000B58A6" w:rsidP="003258CD">
      <w:pPr>
        <w:spacing w:before="0" w:after="0"/>
        <w:rPr>
          <w:sz w:val="22"/>
          <w:szCs w:val="22"/>
        </w:rPr>
      </w:pPr>
      <w:r w:rsidRPr="000B58A6">
        <w:rPr>
          <w:noProof/>
        </w:rPr>
        <w:drawing>
          <wp:inline distT="0" distB="0" distL="0" distR="0" wp14:anchorId="058AA31B" wp14:editId="329FE7D3">
            <wp:extent cx="6084972" cy="2266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344" cy="2268951"/>
                    </a:xfrm>
                    <a:prstGeom prst="rect">
                      <a:avLst/>
                    </a:prstGeom>
                    <a:noFill/>
                    <a:ln>
                      <a:noFill/>
                    </a:ln>
                  </pic:spPr>
                </pic:pic>
              </a:graphicData>
            </a:graphic>
          </wp:inline>
        </w:drawing>
      </w:r>
    </w:p>
    <w:p w14:paraId="40DECE69" w14:textId="77777777" w:rsidR="003258CD" w:rsidRDefault="003258CD" w:rsidP="003258CD">
      <w:pPr>
        <w:spacing w:before="0" w:after="0"/>
        <w:rPr>
          <w:sz w:val="22"/>
          <w:szCs w:val="22"/>
        </w:rPr>
      </w:pPr>
    </w:p>
    <w:p w14:paraId="3EA170DB" w14:textId="77777777" w:rsidR="00421629" w:rsidRDefault="00421629" w:rsidP="003258CD">
      <w:pPr>
        <w:spacing w:before="0" w:after="0"/>
        <w:rPr>
          <w:sz w:val="22"/>
          <w:szCs w:val="22"/>
        </w:rPr>
      </w:pPr>
    </w:p>
    <w:p w14:paraId="52734BD0" w14:textId="77777777" w:rsidR="003258CD" w:rsidRDefault="003258CD" w:rsidP="003258CD">
      <w:pPr>
        <w:spacing w:before="0" w:after="0"/>
        <w:rPr>
          <w:sz w:val="22"/>
          <w:szCs w:val="22"/>
        </w:rPr>
      </w:pPr>
    </w:p>
    <w:p w14:paraId="2C3044A1" w14:textId="77777777" w:rsidR="009D2867" w:rsidRDefault="009D2867" w:rsidP="009D2867">
      <w:pPr>
        <w:rPr>
          <w:b/>
          <w:color w:val="008000"/>
          <w:sz w:val="32"/>
        </w:rPr>
      </w:pPr>
      <w:r w:rsidRPr="00FB619B">
        <w:rPr>
          <w:b/>
          <w:color w:val="008000"/>
          <w:sz w:val="32"/>
        </w:rPr>
        <w:lastRenderedPageBreak/>
        <w:t>Vacancy Rate</w:t>
      </w:r>
    </w:p>
    <w:p w14:paraId="52C594B3" w14:textId="77777777" w:rsidR="00616492" w:rsidRDefault="00EF4038" w:rsidP="00616492">
      <w:pPr>
        <w:numPr>
          <w:ilvl w:val="0"/>
          <w:numId w:val="18"/>
        </w:numPr>
        <w:spacing w:before="0" w:after="0"/>
        <w:jc w:val="both"/>
        <w:rPr>
          <w:sz w:val="22"/>
          <w:szCs w:val="22"/>
        </w:rPr>
      </w:pPr>
      <w:r w:rsidRPr="00EF4038">
        <w:rPr>
          <w:sz w:val="22"/>
          <w:szCs w:val="22"/>
        </w:rPr>
        <w:t xml:space="preserve">A vacancy rate of 3% is understood to represent a balance between supply and demand in the rental market. </w:t>
      </w:r>
      <w:r w:rsidR="00616492">
        <w:rPr>
          <w:sz w:val="22"/>
          <w:szCs w:val="22"/>
        </w:rPr>
        <w:t>Vacancy rates below 3% represent a tight rental market while longer term vacancy rates below 2% represent a chronic undersupply of rental housing.</w:t>
      </w:r>
    </w:p>
    <w:p w14:paraId="00E68A6C" w14:textId="767CF7F5" w:rsidR="00EF4038" w:rsidRPr="00EF4038" w:rsidRDefault="00EF4038" w:rsidP="00426142">
      <w:pPr>
        <w:numPr>
          <w:ilvl w:val="0"/>
          <w:numId w:val="18"/>
        </w:numPr>
        <w:spacing w:before="0" w:after="0"/>
        <w:jc w:val="both"/>
        <w:rPr>
          <w:sz w:val="22"/>
          <w:szCs w:val="22"/>
        </w:rPr>
      </w:pPr>
      <w:r w:rsidRPr="00EF4038">
        <w:rPr>
          <w:sz w:val="22"/>
          <w:szCs w:val="22"/>
        </w:rPr>
        <w:t xml:space="preserve">According to REINSW data, vacancy rates </w:t>
      </w:r>
      <w:r w:rsidR="00CB68BB">
        <w:rPr>
          <w:sz w:val="22"/>
          <w:szCs w:val="22"/>
        </w:rPr>
        <w:t>have been</w:t>
      </w:r>
      <w:r w:rsidR="00616492">
        <w:rPr>
          <w:sz w:val="22"/>
          <w:szCs w:val="22"/>
        </w:rPr>
        <w:t xml:space="preserve"> below 3% for Murrumbidgee since January 2012</w:t>
      </w:r>
      <w:r w:rsidRPr="00EF4038">
        <w:rPr>
          <w:sz w:val="22"/>
          <w:szCs w:val="22"/>
        </w:rPr>
        <w:t xml:space="preserve">, for Albury since 2017 and for the Riverina since 2018.   </w:t>
      </w:r>
      <w:r>
        <w:rPr>
          <w:sz w:val="22"/>
          <w:szCs w:val="22"/>
        </w:rPr>
        <w:t>F</w:t>
      </w:r>
      <w:r w:rsidRPr="00EF4038">
        <w:rPr>
          <w:sz w:val="22"/>
          <w:szCs w:val="22"/>
        </w:rPr>
        <w:t xml:space="preserve">or much of that time the vacancy rate has been below 2% - indicating a </w:t>
      </w:r>
      <w:r w:rsidR="00616492">
        <w:rPr>
          <w:sz w:val="22"/>
          <w:szCs w:val="22"/>
        </w:rPr>
        <w:t xml:space="preserve">prolonged </w:t>
      </w:r>
      <w:r w:rsidRPr="00EF4038">
        <w:rPr>
          <w:sz w:val="22"/>
          <w:szCs w:val="22"/>
        </w:rPr>
        <w:t>shortage</w:t>
      </w:r>
      <w:r w:rsidR="00616492">
        <w:rPr>
          <w:sz w:val="22"/>
          <w:szCs w:val="22"/>
        </w:rPr>
        <w:t xml:space="preserve"> of rental accommodation</w:t>
      </w:r>
      <w:r w:rsidRPr="00EF4038">
        <w:rPr>
          <w:sz w:val="22"/>
          <w:szCs w:val="22"/>
        </w:rPr>
        <w:t xml:space="preserve">.   </w:t>
      </w:r>
    </w:p>
    <w:p w14:paraId="2758FA39" w14:textId="77777777" w:rsidR="00EF4038" w:rsidRDefault="00EF4038" w:rsidP="00EF4038">
      <w:pPr>
        <w:numPr>
          <w:ilvl w:val="0"/>
          <w:numId w:val="18"/>
        </w:numPr>
        <w:spacing w:before="0" w:after="0"/>
        <w:jc w:val="both"/>
        <w:rPr>
          <w:sz w:val="22"/>
          <w:szCs w:val="22"/>
        </w:rPr>
      </w:pPr>
      <w:r w:rsidRPr="00E1656E">
        <w:rPr>
          <w:sz w:val="22"/>
          <w:szCs w:val="22"/>
        </w:rPr>
        <w:t xml:space="preserve">At </w:t>
      </w:r>
      <w:r w:rsidR="00FE5ACC">
        <w:rPr>
          <w:sz w:val="22"/>
          <w:szCs w:val="22"/>
        </w:rPr>
        <w:t>April</w:t>
      </w:r>
      <w:r>
        <w:rPr>
          <w:sz w:val="22"/>
          <w:szCs w:val="22"/>
        </w:rPr>
        <w:t xml:space="preserve"> </w:t>
      </w:r>
      <w:r w:rsidRPr="00E1656E">
        <w:rPr>
          <w:sz w:val="22"/>
          <w:szCs w:val="22"/>
        </w:rPr>
        <w:t>20</w:t>
      </w:r>
      <w:r>
        <w:rPr>
          <w:sz w:val="22"/>
          <w:szCs w:val="22"/>
        </w:rPr>
        <w:t>2</w:t>
      </w:r>
      <w:r w:rsidR="00616492">
        <w:rPr>
          <w:sz w:val="22"/>
          <w:szCs w:val="22"/>
        </w:rPr>
        <w:t>3</w:t>
      </w:r>
      <w:r w:rsidRPr="00E1656E">
        <w:rPr>
          <w:sz w:val="22"/>
          <w:szCs w:val="22"/>
        </w:rPr>
        <w:t xml:space="preserve"> the vacancy rate in </w:t>
      </w:r>
      <w:r>
        <w:rPr>
          <w:sz w:val="22"/>
          <w:szCs w:val="22"/>
        </w:rPr>
        <w:t xml:space="preserve">Albury </w:t>
      </w:r>
      <w:r w:rsidR="001F5B9B">
        <w:rPr>
          <w:sz w:val="22"/>
          <w:szCs w:val="22"/>
        </w:rPr>
        <w:t>was 0.8%, for</w:t>
      </w:r>
      <w:r>
        <w:rPr>
          <w:sz w:val="22"/>
          <w:szCs w:val="22"/>
        </w:rPr>
        <w:t xml:space="preserve"> the Riverina</w:t>
      </w:r>
      <w:r w:rsidR="00016521">
        <w:rPr>
          <w:sz w:val="22"/>
          <w:szCs w:val="22"/>
        </w:rPr>
        <w:t xml:space="preserve"> </w:t>
      </w:r>
      <w:r>
        <w:rPr>
          <w:sz w:val="22"/>
          <w:szCs w:val="22"/>
        </w:rPr>
        <w:t xml:space="preserve">was </w:t>
      </w:r>
      <w:r w:rsidR="00D42198">
        <w:rPr>
          <w:sz w:val="22"/>
          <w:szCs w:val="22"/>
        </w:rPr>
        <w:t>0.9</w:t>
      </w:r>
      <w:r>
        <w:rPr>
          <w:sz w:val="22"/>
          <w:szCs w:val="22"/>
        </w:rPr>
        <w:t>%</w:t>
      </w:r>
      <w:r w:rsidR="00016521">
        <w:rPr>
          <w:sz w:val="22"/>
          <w:szCs w:val="22"/>
        </w:rPr>
        <w:t xml:space="preserve"> and </w:t>
      </w:r>
      <w:r>
        <w:rPr>
          <w:sz w:val="22"/>
          <w:szCs w:val="22"/>
        </w:rPr>
        <w:t xml:space="preserve">in Murrumbidgee </w:t>
      </w:r>
      <w:r w:rsidR="00016521">
        <w:rPr>
          <w:sz w:val="22"/>
          <w:szCs w:val="22"/>
        </w:rPr>
        <w:t xml:space="preserve">was </w:t>
      </w:r>
      <w:r w:rsidR="001F5B9B">
        <w:rPr>
          <w:sz w:val="22"/>
          <w:szCs w:val="22"/>
        </w:rPr>
        <w:t>1.</w:t>
      </w:r>
      <w:r w:rsidR="00D42198">
        <w:rPr>
          <w:sz w:val="22"/>
          <w:szCs w:val="22"/>
        </w:rPr>
        <w:t>5</w:t>
      </w:r>
      <w:r w:rsidR="00016521">
        <w:rPr>
          <w:sz w:val="22"/>
          <w:szCs w:val="22"/>
        </w:rPr>
        <w:t>%.</w:t>
      </w:r>
    </w:p>
    <w:p w14:paraId="1B841DE6" w14:textId="77777777" w:rsidR="001F5B9B" w:rsidRDefault="001F5B9B" w:rsidP="001F5B9B">
      <w:pPr>
        <w:numPr>
          <w:ilvl w:val="0"/>
          <w:numId w:val="18"/>
        </w:numPr>
        <w:spacing w:before="0" w:after="0"/>
        <w:rPr>
          <w:sz w:val="22"/>
          <w:szCs w:val="22"/>
        </w:rPr>
      </w:pPr>
      <w:r w:rsidRPr="00D56536">
        <w:rPr>
          <w:sz w:val="22"/>
          <w:szCs w:val="22"/>
        </w:rPr>
        <w:t xml:space="preserve">Almost universally, vacancy rates across regional and metropolitan NSW are tight.  At </w:t>
      </w:r>
      <w:r w:rsidR="00D42198">
        <w:rPr>
          <w:sz w:val="22"/>
          <w:szCs w:val="22"/>
        </w:rPr>
        <w:t>April</w:t>
      </w:r>
      <w:r w:rsidRPr="00D56536">
        <w:rPr>
          <w:sz w:val="22"/>
          <w:szCs w:val="22"/>
        </w:rPr>
        <w:t xml:space="preserve"> 202</w:t>
      </w:r>
      <w:r>
        <w:rPr>
          <w:sz w:val="22"/>
          <w:szCs w:val="22"/>
        </w:rPr>
        <w:t>3</w:t>
      </w:r>
      <w:r w:rsidRPr="00D56536">
        <w:rPr>
          <w:sz w:val="22"/>
          <w:szCs w:val="22"/>
        </w:rPr>
        <w:t>, the vacancy rate in</w:t>
      </w:r>
      <w:r>
        <w:rPr>
          <w:sz w:val="22"/>
          <w:szCs w:val="22"/>
        </w:rPr>
        <w:t xml:space="preserve"> the Central West was 1</w:t>
      </w:r>
      <w:r w:rsidR="00D42198">
        <w:rPr>
          <w:sz w:val="22"/>
          <w:szCs w:val="22"/>
        </w:rPr>
        <w:t>.6</w:t>
      </w:r>
      <w:r>
        <w:rPr>
          <w:sz w:val="22"/>
          <w:szCs w:val="22"/>
        </w:rPr>
        <w:t xml:space="preserve">%, in Orana was </w:t>
      </w:r>
      <w:r w:rsidR="00D42198">
        <w:rPr>
          <w:sz w:val="22"/>
          <w:szCs w:val="22"/>
        </w:rPr>
        <w:t>1.4</w:t>
      </w:r>
      <w:r>
        <w:rPr>
          <w:sz w:val="22"/>
          <w:szCs w:val="22"/>
        </w:rPr>
        <w:t xml:space="preserve">%, </w:t>
      </w:r>
      <w:r w:rsidR="00D42198">
        <w:rPr>
          <w:sz w:val="22"/>
          <w:szCs w:val="22"/>
        </w:rPr>
        <w:t>in the South Coast was 2.1% and in Sydney was 1.3%.</w:t>
      </w:r>
    </w:p>
    <w:p w14:paraId="367BC095" w14:textId="77777777" w:rsidR="001F5B9B" w:rsidRPr="00D56536" w:rsidRDefault="001F5B9B" w:rsidP="001F5B9B">
      <w:pPr>
        <w:numPr>
          <w:ilvl w:val="0"/>
          <w:numId w:val="18"/>
        </w:numPr>
        <w:spacing w:before="0" w:after="0"/>
        <w:rPr>
          <w:sz w:val="22"/>
          <w:szCs w:val="22"/>
        </w:rPr>
      </w:pPr>
      <w:r>
        <w:rPr>
          <w:sz w:val="22"/>
          <w:szCs w:val="22"/>
        </w:rPr>
        <w:t>Anecdotally there are reports of the difficulties tenants are experiencing finding and retaining rental accommodation – strong competition for properties, rent bidding and significant increases in rents, tenants paying too much of their income in rent, facing evictions and potential homelessness.</w:t>
      </w:r>
    </w:p>
    <w:p w14:paraId="11E917CF" w14:textId="135FCE2A" w:rsidR="009D2867" w:rsidRPr="00BF4D6D" w:rsidRDefault="001F5B9B" w:rsidP="00CA64A4">
      <w:pPr>
        <w:numPr>
          <w:ilvl w:val="0"/>
          <w:numId w:val="18"/>
        </w:numPr>
        <w:spacing w:before="0" w:after="0"/>
        <w:jc w:val="both"/>
        <w:rPr>
          <w:sz w:val="20"/>
          <w:szCs w:val="20"/>
        </w:rPr>
      </w:pPr>
      <w:r w:rsidRPr="00BF4D6D">
        <w:rPr>
          <w:sz w:val="22"/>
          <w:szCs w:val="22"/>
        </w:rPr>
        <w:t>The graph below shows the longer term rental vacancy rate in Albury, the Murrumbidgee and Riverina</w:t>
      </w:r>
      <w:r w:rsidR="00EF4038" w:rsidRPr="00BF4D6D">
        <w:rPr>
          <w:sz w:val="22"/>
          <w:szCs w:val="22"/>
        </w:rPr>
        <w:t xml:space="preserve">. </w:t>
      </w:r>
    </w:p>
    <w:p w14:paraId="364309C9" w14:textId="77777777" w:rsidR="009D2867" w:rsidRPr="00651675" w:rsidRDefault="00FE5ACC" w:rsidP="00651675">
      <w:pPr>
        <w:rPr>
          <w:sz w:val="20"/>
          <w:szCs w:val="20"/>
        </w:rPr>
      </w:pPr>
      <w:r>
        <w:rPr>
          <w:noProof/>
          <w:sz w:val="20"/>
          <w:szCs w:val="20"/>
        </w:rPr>
        <w:drawing>
          <wp:inline distT="0" distB="0" distL="0" distR="0" wp14:anchorId="3B8D5927" wp14:editId="38A1FC4B">
            <wp:extent cx="6082986" cy="29327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3179" cy="2947337"/>
                    </a:xfrm>
                    <a:prstGeom prst="rect">
                      <a:avLst/>
                    </a:prstGeom>
                    <a:noFill/>
                  </pic:spPr>
                </pic:pic>
              </a:graphicData>
            </a:graphic>
          </wp:inline>
        </w:drawing>
      </w:r>
    </w:p>
    <w:p w14:paraId="28CA1F24" w14:textId="77777777" w:rsidR="00676D5D" w:rsidRPr="00FB619B" w:rsidRDefault="00676D5D" w:rsidP="009D2867"/>
    <w:p w14:paraId="6D196B36" w14:textId="77777777" w:rsidR="009D2867" w:rsidRPr="004B06D4" w:rsidRDefault="009D2867" w:rsidP="009D2867">
      <w:pPr>
        <w:rPr>
          <w:b/>
          <w:color w:val="008000"/>
          <w:sz w:val="32"/>
        </w:rPr>
      </w:pPr>
      <w:r w:rsidRPr="004B06D4">
        <w:rPr>
          <w:b/>
          <w:color w:val="008000"/>
          <w:sz w:val="32"/>
        </w:rPr>
        <w:t>Affordable Rental</w:t>
      </w:r>
    </w:p>
    <w:p w14:paraId="0332ED3C" w14:textId="7F3265CD" w:rsidR="0012580B" w:rsidRDefault="0012580B" w:rsidP="005F1322">
      <w:pPr>
        <w:numPr>
          <w:ilvl w:val="0"/>
          <w:numId w:val="19"/>
        </w:numPr>
        <w:spacing w:before="0" w:after="0"/>
        <w:jc w:val="both"/>
        <w:rPr>
          <w:sz w:val="22"/>
          <w:szCs w:val="22"/>
        </w:rPr>
      </w:pPr>
      <w:r>
        <w:rPr>
          <w:sz w:val="22"/>
          <w:szCs w:val="22"/>
        </w:rPr>
        <w:t>Note that flood</w:t>
      </w:r>
      <w:r w:rsidR="00172746">
        <w:rPr>
          <w:sz w:val="22"/>
          <w:szCs w:val="22"/>
        </w:rPr>
        <w:t>s</w:t>
      </w:r>
      <w:r>
        <w:rPr>
          <w:sz w:val="22"/>
          <w:szCs w:val="22"/>
        </w:rPr>
        <w:t xml:space="preserve"> in</w:t>
      </w:r>
      <w:r w:rsidR="00A618A3">
        <w:rPr>
          <w:sz w:val="22"/>
          <w:szCs w:val="22"/>
        </w:rPr>
        <w:t xml:space="preserve"> late 202</w:t>
      </w:r>
      <w:r w:rsidR="008415D0">
        <w:rPr>
          <w:sz w:val="22"/>
          <w:szCs w:val="22"/>
        </w:rPr>
        <w:t>2</w:t>
      </w:r>
      <w:r w:rsidR="00A618A3">
        <w:rPr>
          <w:sz w:val="22"/>
          <w:szCs w:val="22"/>
        </w:rPr>
        <w:t xml:space="preserve"> in</w:t>
      </w:r>
      <w:r>
        <w:rPr>
          <w:sz w:val="22"/>
          <w:szCs w:val="22"/>
        </w:rPr>
        <w:t xml:space="preserve"> the region would have seriously impacted the </w:t>
      </w:r>
      <w:r w:rsidR="00D70F7D">
        <w:rPr>
          <w:sz w:val="22"/>
          <w:szCs w:val="22"/>
        </w:rPr>
        <w:t>availability/</w:t>
      </w:r>
      <w:r>
        <w:rPr>
          <w:sz w:val="22"/>
          <w:szCs w:val="22"/>
        </w:rPr>
        <w:t xml:space="preserve">supply of </w:t>
      </w:r>
      <w:r w:rsidR="007C1F7F">
        <w:rPr>
          <w:sz w:val="22"/>
          <w:szCs w:val="22"/>
        </w:rPr>
        <w:t>private rental accommodation</w:t>
      </w:r>
      <w:r w:rsidR="00EA5A7A">
        <w:rPr>
          <w:sz w:val="22"/>
          <w:szCs w:val="22"/>
        </w:rPr>
        <w:t>.</w:t>
      </w:r>
      <w:r w:rsidR="007C1F7F">
        <w:rPr>
          <w:sz w:val="22"/>
          <w:szCs w:val="22"/>
        </w:rPr>
        <w:t xml:space="preserve"> </w:t>
      </w:r>
      <w:r w:rsidR="00EA5A7A">
        <w:rPr>
          <w:sz w:val="22"/>
          <w:szCs w:val="22"/>
        </w:rPr>
        <w:t>A</w:t>
      </w:r>
      <w:r w:rsidR="007C1F7F">
        <w:rPr>
          <w:sz w:val="22"/>
          <w:szCs w:val="22"/>
        </w:rPr>
        <w:t>ffordability</w:t>
      </w:r>
      <w:r w:rsidR="00EA5A7A">
        <w:rPr>
          <w:sz w:val="22"/>
          <w:szCs w:val="22"/>
        </w:rPr>
        <w:t xml:space="preserve"> d</w:t>
      </w:r>
      <w:r w:rsidR="007C1F7F">
        <w:rPr>
          <w:sz w:val="22"/>
          <w:szCs w:val="22"/>
        </w:rPr>
        <w:t>ata for the impacted period is not yet available.</w:t>
      </w:r>
    </w:p>
    <w:p w14:paraId="53C3B897" w14:textId="77777777" w:rsidR="005F1322" w:rsidRDefault="005F1322" w:rsidP="005F1322">
      <w:pPr>
        <w:numPr>
          <w:ilvl w:val="0"/>
          <w:numId w:val="19"/>
        </w:numPr>
        <w:spacing w:before="0" w:after="0"/>
        <w:jc w:val="both"/>
        <w:rPr>
          <w:sz w:val="22"/>
          <w:szCs w:val="22"/>
        </w:rPr>
      </w:pPr>
      <w:r w:rsidRPr="0023651B">
        <w:rPr>
          <w:sz w:val="22"/>
          <w:szCs w:val="22"/>
        </w:rPr>
        <w:t>The general trend across</w:t>
      </w:r>
      <w:r w:rsidRPr="00EC3534">
        <w:rPr>
          <w:sz w:val="22"/>
          <w:szCs w:val="22"/>
        </w:rPr>
        <w:t xml:space="preserve"> Sydney and NSW has been for a decline in the proportion of rental stock which is affordable for very low, lo</w:t>
      </w:r>
      <w:r>
        <w:rPr>
          <w:sz w:val="22"/>
          <w:szCs w:val="22"/>
        </w:rPr>
        <w:t xml:space="preserve">w and moderate income earners. </w:t>
      </w:r>
      <w:r w:rsidRPr="00EC3534">
        <w:rPr>
          <w:sz w:val="22"/>
          <w:szCs w:val="22"/>
        </w:rPr>
        <w:t xml:space="preserve"> </w:t>
      </w:r>
    </w:p>
    <w:p w14:paraId="168D4FA1" w14:textId="7AE76AD1" w:rsidR="005F1322" w:rsidRPr="002354A1" w:rsidRDefault="00394947" w:rsidP="00FE362D">
      <w:pPr>
        <w:numPr>
          <w:ilvl w:val="0"/>
          <w:numId w:val="19"/>
        </w:numPr>
        <w:spacing w:before="0" w:after="0"/>
        <w:jc w:val="both"/>
        <w:rPr>
          <w:sz w:val="22"/>
          <w:szCs w:val="22"/>
        </w:rPr>
      </w:pPr>
      <w:r>
        <w:rPr>
          <w:sz w:val="22"/>
          <w:szCs w:val="22"/>
        </w:rPr>
        <w:lastRenderedPageBreak/>
        <w:t>Generally, t</w:t>
      </w:r>
      <w:r w:rsidR="005F1322" w:rsidRPr="002354A1">
        <w:rPr>
          <w:sz w:val="22"/>
          <w:szCs w:val="22"/>
        </w:rPr>
        <w:t xml:space="preserve">his has </w:t>
      </w:r>
      <w:r w:rsidR="002354A1" w:rsidRPr="002354A1">
        <w:rPr>
          <w:sz w:val="22"/>
          <w:szCs w:val="22"/>
        </w:rPr>
        <w:t xml:space="preserve">also been </w:t>
      </w:r>
      <w:r w:rsidR="005F1322" w:rsidRPr="002354A1">
        <w:rPr>
          <w:sz w:val="22"/>
          <w:szCs w:val="22"/>
        </w:rPr>
        <w:t>the trend in the</w:t>
      </w:r>
      <w:r w:rsidR="002354A1" w:rsidRPr="002354A1">
        <w:rPr>
          <w:sz w:val="22"/>
          <w:szCs w:val="22"/>
        </w:rPr>
        <w:t xml:space="preserve"> Riverina Murray</w:t>
      </w:r>
      <w:r w:rsidR="005F1322" w:rsidRPr="002354A1">
        <w:rPr>
          <w:sz w:val="22"/>
          <w:szCs w:val="22"/>
        </w:rPr>
        <w:t>, although along with elsewhere in NSW, there were more complex factors at play between 2019 and 2022.</w:t>
      </w:r>
    </w:p>
    <w:p w14:paraId="463484A4" w14:textId="77777777" w:rsidR="005F1322" w:rsidRDefault="005F1322" w:rsidP="005F1322">
      <w:pPr>
        <w:numPr>
          <w:ilvl w:val="0"/>
          <w:numId w:val="19"/>
        </w:numPr>
        <w:spacing w:before="0" w:after="0"/>
        <w:jc w:val="both"/>
        <w:rPr>
          <w:sz w:val="22"/>
          <w:szCs w:val="22"/>
        </w:rPr>
      </w:pPr>
      <w:r>
        <w:rPr>
          <w:sz w:val="22"/>
          <w:szCs w:val="22"/>
        </w:rPr>
        <w:t>Across the Rest of NSW, the proportion of affordable rental for very low income households stayed at the 2018 level of 22.0% for 2019, improved slightly to 21.7% in 2020 and again to 21.9% in 2021 then declined in line with the longer term trend to 17.0% in 2022.</w:t>
      </w:r>
    </w:p>
    <w:p w14:paraId="67D16769" w14:textId="77777777" w:rsidR="00646DF9" w:rsidRDefault="006876F3" w:rsidP="005F1322">
      <w:pPr>
        <w:numPr>
          <w:ilvl w:val="0"/>
          <w:numId w:val="19"/>
        </w:numPr>
        <w:spacing w:before="0" w:after="0"/>
        <w:jc w:val="both"/>
        <w:rPr>
          <w:sz w:val="22"/>
          <w:szCs w:val="22"/>
        </w:rPr>
      </w:pPr>
      <w:r>
        <w:rPr>
          <w:sz w:val="22"/>
          <w:szCs w:val="22"/>
        </w:rPr>
        <w:t>In the Riverina Murray</w:t>
      </w:r>
      <w:r w:rsidR="005F1322" w:rsidRPr="00300A34">
        <w:rPr>
          <w:sz w:val="22"/>
          <w:szCs w:val="22"/>
        </w:rPr>
        <w:t xml:space="preserve"> this pattern was more varied.  Between 2018 and 2019 rental affordability for very low income households improved in </w:t>
      </w:r>
      <w:r>
        <w:rPr>
          <w:sz w:val="22"/>
          <w:szCs w:val="22"/>
        </w:rPr>
        <w:t xml:space="preserve">Albury, Berrigan, Griffith, </w:t>
      </w:r>
      <w:r w:rsidR="00A61E20">
        <w:rPr>
          <w:sz w:val="22"/>
          <w:szCs w:val="22"/>
        </w:rPr>
        <w:t>Snowy Valleys and Wagga Wagga and declined in</w:t>
      </w:r>
      <w:r w:rsidR="00646DF9">
        <w:rPr>
          <w:sz w:val="22"/>
          <w:szCs w:val="22"/>
        </w:rPr>
        <w:t xml:space="preserve"> Federation, Greater Hume, Gundagai-</w:t>
      </w:r>
      <w:r w:rsidR="001F5551">
        <w:rPr>
          <w:sz w:val="22"/>
          <w:szCs w:val="22"/>
        </w:rPr>
        <w:t>Cootamundra,</w:t>
      </w:r>
      <w:r w:rsidR="00721CE4">
        <w:rPr>
          <w:sz w:val="22"/>
          <w:szCs w:val="22"/>
        </w:rPr>
        <w:t xml:space="preserve"> Leeton,</w:t>
      </w:r>
      <w:r w:rsidR="001F5551">
        <w:rPr>
          <w:sz w:val="22"/>
          <w:szCs w:val="22"/>
        </w:rPr>
        <w:t xml:space="preserve"> Murray River and Narrandera.</w:t>
      </w:r>
    </w:p>
    <w:p w14:paraId="67790D32" w14:textId="77777777" w:rsidR="00A61E20" w:rsidRDefault="005F1322" w:rsidP="005F1322">
      <w:pPr>
        <w:numPr>
          <w:ilvl w:val="0"/>
          <w:numId w:val="19"/>
        </w:numPr>
        <w:spacing w:before="0" w:after="0"/>
        <w:jc w:val="both"/>
        <w:rPr>
          <w:sz w:val="22"/>
          <w:szCs w:val="22"/>
        </w:rPr>
      </w:pPr>
      <w:r>
        <w:rPr>
          <w:sz w:val="22"/>
          <w:szCs w:val="22"/>
        </w:rPr>
        <w:t xml:space="preserve">Between 2019 and 2020 the proportion affordable for rental by very low income households </w:t>
      </w:r>
      <w:r w:rsidR="00646DF9">
        <w:rPr>
          <w:sz w:val="22"/>
          <w:szCs w:val="22"/>
        </w:rPr>
        <w:t>declined in Albury, Federation, Greater Hume, Griffith and Snowy Valleys and improved in</w:t>
      </w:r>
      <w:r w:rsidR="001F5551">
        <w:rPr>
          <w:sz w:val="22"/>
          <w:szCs w:val="22"/>
        </w:rPr>
        <w:t xml:space="preserve"> </w:t>
      </w:r>
      <w:r w:rsidR="00721CE4">
        <w:rPr>
          <w:sz w:val="22"/>
          <w:szCs w:val="22"/>
        </w:rPr>
        <w:t>Berrigan, Gundagai-Cootamundra, Leeton, Murray River, Narrandera and Wagga Wagga</w:t>
      </w:r>
      <w:r w:rsidR="00646DF9">
        <w:rPr>
          <w:sz w:val="22"/>
          <w:szCs w:val="22"/>
        </w:rPr>
        <w:t>.</w:t>
      </w:r>
    </w:p>
    <w:p w14:paraId="29FC2024" w14:textId="77777777" w:rsidR="00721CE4" w:rsidRDefault="005F1322" w:rsidP="00721CE4">
      <w:pPr>
        <w:numPr>
          <w:ilvl w:val="0"/>
          <w:numId w:val="19"/>
        </w:numPr>
        <w:spacing w:before="0" w:after="0"/>
        <w:jc w:val="both"/>
        <w:rPr>
          <w:sz w:val="22"/>
          <w:szCs w:val="22"/>
        </w:rPr>
      </w:pPr>
      <w:r w:rsidRPr="00721CE4">
        <w:rPr>
          <w:sz w:val="22"/>
          <w:szCs w:val="22"/>
        </w:rPr>
        <w:t xml:space="preserve">Between 2020 and 2021 rental affordability improved in </w:t>
      </w:r>
      <w:r w:rsidR="00ED69C6">
        <w:rPr>
          <w:sz w:val="22"/>
          <w:szCs w:val="22"/>
        </w:rPr>
        <w:t xml:space="preserve">Federation, Griffith, Leeton and Temora and declined in </w:t>
      </w:r>
      <w:r w:rsidR="003119CF">
        <w:rPr>
          <w:sz w:val="22"/>
          <w:szCs w:val="22"/>
        </w:rPr>
        <w:t xml:space="preserve">Albury, Berrigan, Gundagai-Cootamundra, </w:t>
      </w:r>
      <w:r w:rsidR="00A51376">
        <w:rPr>
          <w:sz w:val="22"/>
          <w:szCs w:val="22"/>
        </w:rPr>
        <w:t>Junee, Murray River, Narrandera, Snowy Valleys and Wagga Wagga.</w:t>
      </w:r>
    </w:p>
    <w:p w14:paraId="4869CAE9" w14:textId="77777777" w:rsidR="00A51376" w:rsidRDefault="005F1322" w:rsidP="00A51376">
      <w:pPr>
        <w:numPr>
          <w:ilvl w:val="0"/>
          <w:numId w:val="19"/>
        </w:numPr>
        <w:spacing w:before="0" w:after="0"/>
        <w:jc w:val="both"/>
        <w:rPr>
          <w:sz w:val="22"/>
          <w:szCs w:val="22"/>
        </w:rPr>
      </w:pPr>
      <w:r w:rsidRPr="00A51376">
        <w:rPr>
          <w:sz w:val="22"/>
          <w:szCs w:val="22"/>
        </w:rPr>
        <w:t xml:space="preserve">Between 2021 and 2022 rental affordability for very low income households declined in </w:t>
      </w:r>
      <w:r w:rsidR="00F3448C">
        <w:rPr>
          <w:sz w:val="22"/>
          <w:szCs w:val="22"/>
        </w:rPr>
        <w:t>Albury, Berrigan, Federation, Griffith, Gundagai-Cootamundra, Leeton, Narrandera, Temora and Wagga Wagga and improved in Junee, Murray River and Snowy Valleys.</w:t>
      </w:r>
    </w:p>
    <w:p w14:paraId="1D9A3193" w14:textId="77777777" w:rsidR="00F3448C" w:rsidRDefault="005F1322" w:rsidP="005F1322">
      <w:pPr>
        <w:numPr>
          <w:ilvl w:val="0"/>
          <w:numId w:val="19"/>
        </w:numPr>
        <w:spacing w:before="0" w:after="0"/>
        <w:jc w:val="both"/>
        <w:rPr>
          <w:sz w:val="22"/>
          <w:szCs w:val="22"/>
        </w:rPr>
      </w:pPr>
      <w:r>
        <w:rPr>
          <w:sz w:val="22"/>
          <w:szCs w:val="22"/>
        </w:rPr>
        <w:t xml:space="preserve">At June 2022, </w:t>
      </w:r>
      <w:r w:rsidR="00F3448C">
        <w:rPr>
          <w:sz w:val="22"/>
          <w:szCs w:val="22"/>
        </w:rPr>
        <w:t xml:space="preserve">none </w:t>
      </w:r>
      <w:r>
        <w:rPr>
          <w:sz w:val="22"/>
          <w:szCs w:val="22"/>
        </w:rPr>
        <w:t xml:space="preserve">of the </w:t>
      </w:r>
      <w:r w:rsidR="00F3448C">
        <w:rPr>
          <w:sz w:val="22"/>
          <w:szCs w:val="22"/>
        </w:rPr>
        <w:t xml:space="preserve">Riverina Murray LGAs had a lower proportion of affordable rental for very low income households than the average of 17.0% for the Rest of NSW.  Griffith had the lowest proportion in the region with 20.5%, followed by Wagga Wagga with </w:t>
      </w:r>
      <w:r w:rsidR="0089618C">
        <w:rPr>
          <w:sz w:val="22"/>
          <w:szCs w:val="22"/>
        </w:rPr>
        <w:t>25.4% and Albury with 30.9%.</w:t>
      </w:r>
    </w:p>
    <w:p w14:paraId="3F6CA194" w14:textId="602D0D8F" w:rsidR="005F1322" w:rsidRDefault="005F1322" w:rsidP="005F1322">
      <w:pPr>
        <w:numPr>
          <w:ilvl w:val="0"/>
          <w:numId w:val="19"/>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very low income</w:t>
      </w:r>
      <w:r w:rsidRPr="003020E4">
        <w:rPr>
          <w:sz w:val="22"/>
          <w:szCs w:val="22"/>
        </w:rPr>
        <w:t xml:space="preserve"> households in the</w:t>
      </w:r>
      <w:r w:rsidR="0089618C">
        <w:rPr>
          <w:sz w:val="22"/>
          <w:szCs w:val="22"/>
        </w:rPr>
        <w:t xml:space="preserve"> Riverina Murray</w:t>
      </w:r>
      <w:r w:rsidRPr="003020E4">
        <w:rPr>
          <w:sz w:val="22"/>
          <w:szCs w:val="22"/>
        </w:rPr>
        <w:t xml:space="preserve"> between 20</w:t>
      </w:r>
      <w:r w:rsidR="003D5CEF">
        <w:rPr>
          <w:sz w:val="22"/>
          <w:szCs w:val="22"/>
        </w:rPr>
        <w:t>17</w:t>
      </w:r>
      <w:r w:rsidRPr="003020E4">
        <w:rPr>
          <w:sz w:val="22"/>
          <w:szCs w:val="22"/>
        </w:rPr>
        <w:t xml:space="preserve"> and 2022. </w:t>
      </w:r>
      <w:r>
        <w:rPr>
          <w:sz w:val="22"/>
          <w:szCs w:val="22"/>
        </w:rPr>
        <w:t xml:space="preserve"> Note there are not always sufficient new bonds lodged in a local government area to reliably calculate the proportion – so no data will be recorded where this is the case</w:t>
      </w:r>
      <w:r w:rsidR="00E41FFC">
        <w:rPr>
          <w:sz w:val="22"/>
          <w:szCs w:val="22"/>
        </w:rPr>
        <w:t xml:space="preserve"> and there are a few LGAs missing from the table and graph</w:t>
      </w:r>
      <w:r>
        <w:rPr>
          <w:sz w:val="22"/>
          <w:szCs w:val="22"/>
        </w:rPr>
        <w:t>.</w:t>
      </w:r>
    </w:p>
    <w:p w14:paraId="457F880D" w14:textId="77777777" w:rsidR="005F1322" w:rsidRDefault="005F1322" w:rsidP="005F1322">
      <w:pPr>
        <w:spacing w:before="0" w:after="0"/>
        <w:jc w:val="both"/>
        <w:rPr>
          <w:sz w:val="22"/>
          <w:szCs w:val="22"/>
        </w:rPr>
      </w:pPr>
    </w:p>
    <w:p w14:paraId="4590A137" w14:textId="44F3E19D" w:rsidR="005F1322" w:rsidRDefault="005F1322" w:rsidP="003B6BF2">
      <w:pPr>
        <w:spacing w:before="0" w:after="0"/>
        <w:jc w:val="both"/>
        <w:rPr>
          <w:sz w:val="22"/>
          <w:szCs w:val="22"/>
        </w:rPr>
      </w:pPr>
      <w:r w:rsidRPr="003020E4">
        <w:rPr>
          <w:sz w:val="22"/>
          <w:szCs w:val="22"/>
        </w:rPr>
        <w:lastRenderedPageBreak/>
        <w:t xml:space="preserve"> </w:t>
      </w:r>
      <w:r>
        <w:rPr>
          <w:sz w:val="22"/>
          <w:szCs w:val="22"/>
        </w:rPr>
        <w:t>Proportion private rental affordable for very low income households</w:t>
      </w:r>
      <w:r w:rsidR="003B6BF2" w:rsidRPr="003B6BF2">
        <w:rPr>
          <w:noProof/>
        </w:rPr>
        <w:drawing>
          <wp:inline distT="0" distB="0" distL="0" distR="0" wp14:anchorId="6D618B4E" wp14:editId="08060004">
            <wp:extent cx="5274310" cy="30397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039745"/>
                    </a:xfrm>
                    <a:prstGeom prst="rect">
                      <a:avLst/>
                    </a:prstGeom>
                    <a:noFill/>
                    <a:ln>
                      <a:noFill/>
                    </a:ln>
                  </pic:spPr>
                </pic:pic>
              </a:graphicData>
            </a:graphic>
          </wp:inline>
        </w:drawing>
      </w:r>
    </w:p>
    <w:p w14:paraId="58859245" w14:textId="77777777" w:rsidR="005F1322" w:rsidRDefault="005F1322" w:rsidP="005F1322">
      <w:pPr>
        <w:spacing w:before="0" w:after="0"/>
        <w:rPr>
          <w:sz w:val="22"/>
          <w:szCs w:val="22"/>
        </w:rPr>
      </w:pPr>
    </w:p>
    <w:p w14:paraId="1749525C" w14:textId="77777777" w:rsidR="005F1322" w:rsidRDefault="005F1322" w:rsidP="005F1322">
      <w:pPr>
        <w:spacing w:before="0" w:after="0"/>
        <w:rPr>
          <w:sz w:val="22"/>
          <w:szCs w:val="22"/>
        </w:rPr>
      </w:pPr>
    </w:p>
    <w:p w14:paraId="72E95F79" w14:textId="7FF06B40" w:rsidR="003F1E89" w:rsidRDefault="003B6BF2" w:rsidP="005F1322">
      <w:pPr>
        <w:spacing w:before="0" w:after="0"/>
        <w:rPr>
          <w:sz w:val="22"/>
          <w:szCs w:val="22"/>
        </w:rPr>
      </w:pPr>
      <w:r>
        <w:rPr>
          <w:noProof/>
          <w:sz w:val="22"/>
          <w:szCs w:val="22"/>
        </w:rPr>
        <w:drawing>
          <wp:inline distT="0" distB="0" distL="0" distR="0" wp14:anchorId="2BEC4513" wp14:editId="28E9AF97">
            <wp:extent cx="5958205" cy="318863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381" cy="3196220"/>
                    </a:xfrm>
                    <a:prstGeom prst="rect">
                      <a:avLst/>
                    </a:prstGeom>
                    <a:noFill/>
                  </pic:spPr>
                </pic:pic>
              </a:graphicData>
            </a:graphic>
          </wp:inline>
        </w:drawing>
      </w:r>
    </w:p>
    <w:p w14:paraId="7E008CCE" w14:textId="77777777" w:rsidR="005F1322" w:rsidRDefault="005F1322" w:rsidP="005F1322">
      <w:pPr>
        <w:spacing w:before="0" w:after="0"/>
        <w:rPr>
          <w:sz w:val="22"/>
          <w:szCs w:val="22"/>
        </w:rPr>
      </w:pPr>
    </w:p>
    <w:p w14:paraId="7626B1BF" w14:textId="77777777" w:rsidR="005F1322" w:rsidRDefault="005F1322" w:rsidP="005F1322">
      <w:pPr>
        <w:spacing w:before="0" w:after="0"/>
        <w:rPr>
          <w:sz w:val="22"/>
          <w:szCs w:val="22"/>
        </w:rPr>
      </w:pPr>
    </w:p>
    <w:p w14:paraId="457DD06A" w14:textId="0D721852" w:rsidR="00A3306A" w:rsidRDefault="00A3306A" w:rsidP="00A3306A">
      <w:pPr>
        <w:numPr>
          <w:ilvl w:val="0"/>
          <w:numId w:val="32"/>
        </w:numPr>
        <w:spacing w:before="0" w:after="0"/>
        <w:jc w:val="both"/>
        <w:rPr>
          <w:sz w:val="22"/>
          <w:szCs w:val="22"/>
        </w:rPr>
      </w:pPr>
      <w:r w:rsidRPr="00EC3534">
        <w:rPr>
          <w:sz w:val="22"/>
          <w:szCs w:val="22"/>
        </w:rPr>
        <w:t xml:space="preserve">The proportion of rental affordable for </w:t>
      </w:r>
      <w:r w:rsidRPr="00EC3534">
        <w:rPr>
          <w:b/>
          <w:sz w:val="22"/>
          <w:szCs w:val="22"/>
        </w:rPr>
        <w:t>low income</w:t>
      </w:r>
      <w:r w:rsidRPr="00EC3534">
        <w:rPr>
          <w:sz w:val="22"/>
          <w:szCs w:val="22"/>
        </w:rPr>
        <w:t xml:space="preserve"> hou</w:t>
      </w:r>
      <w:r>
        <w:rPr>
          <w:sz w:val="22"/>
          <w:szCs w:val="22"/>
        </w:rPr>
        <w:t xml:space="preserve">seholds has </w:t>
      </w:r>
      <w:r w:rsidR="00FA26A9">
        <w:rPr>
          <w:sz w:val="22"/>
          <w:szCs w:val="22"/>
        </w:rPr>
        <w:t>declined</w:t>
      </w:r>
      <w:r>
        <w:rPr>
          <w:sz w:val="22"/>
          <w:szCs w:val="22"/>
        </w:rPr>
        <w:t xml:space="preserve"> recently in </w:t>
      </w:r>
      <w:r w:rsidR="00D75D4D">
        <w:rPr>
          <w:sz w:val="22"/>
          <w:szCs w:val="22"/>
        </w:rPr>
        <w:t>every</w:t>
      </w:r>
      <w:r>
        <w:rPr>
          <w:sz w:val="22"/>
          <w:szCs w:val="22"/>
        </w:rPr>
        <w:t xml:space="preserve"> </w:t>
      </w:r>
      <w:r w:rsidR="00995553">
        <w:rPr>
          <w:sz w:val="22"/>
          <w:szCs w:val="22"/>
        </w:rPr>
        <w:t xml:space="preserve">Riverina Murray </w:t>
      </w:r>
      <w:r w:rsidR="00D65ADC">
        <w:rPr>
          <w:sz w:val="22"/>
          <w:szCs w:val="22"/>
        </w:rPr>
        <w:t xml:space="preserve">LGA (except Edward River) </w:t>
      </w:r>
      <w:r>
        <w:rPr>
          <w:sz w:val="22"/>
          <w:szCs w:val="22"/>
        </w:rPr>
        <w:t>compared with</w:t>
      </w:r>
      <w:r w:rsidR="00134900">
        <w:rPr>
          <w:sz w:val="22"/>
          <w:szCs w:val="22"/>
        </w:rPr>
        <w:t xml:space="preserve"> 2017</w:t>
      </w:r>
      <w:r>
        <w:rPr>
          <w:sz w:val="22"/>
          <w:szCs w:val="22"/>
        </w:rPr>
        <w:t xml:space="preserve">. </w:t>
      </w:r>
    </w:p>
    <w:p w14:paraId="06B15F3C" w14:textId="77777777" w:rsidR="00A3306A" w:rsidRDefault="00A3306A" w:rsidP="00A3306A">
      <w:pPr>
        <w:numPr>
          <w:ilvl w:val="0"/>
          <w:numId w:val="32"/>
        </w:numPr>
        <w:spacing w:before="0" w:after="0"/>
        <w:jc w:val="both"/>
        <w:rPr>
          <w:sz w:val="22"/>
          <w:szCs w:val="22"/>
        </w:rPr>
      </w:pPr>
      <w:r>
        <w:rPr>
          <w:sz w:val="22"/>
          <w:szCs w:val="22"/>
        </w:rPr>
        <w:t xml:space="preserve">However, between 2018 and 2020 the proportion of rental affordable for low income households increased gently from 54.1% to 55.2% </w:t>
      </w:r>
      <w:r w:rsidR="0000447A">
        <w:rPr>
          <w:sz w:val="22"/>
          <w:szCs w:val="22"/>
        </w:rPr>
        <w:t xml:space="preserve">between 2018 and 2020 </w:t>
      </w:r>
      <w:r>
        <w:rPr>
          <w:sz w:val="22"/>
          <w:szCs w:val="22"/>
        </w:rPr>
        <w:t>and then declined again to 45.4% in June 2022 in the Rest of NSW.</w:t>
      </w:r>
    </w:p>
    <w:p w14:paraId="5D9F236A" w14:textId="77777777" w:rsidR="00A3306A" w:rsidRDefault="00A3306A" w:rsidP="00A3306A">
      <w:pPr>
        <w:numPr>
          <w:ilvl w:val="0"/>
          <w:numId w:val="32"/>
        </w:numPr>
        <w:spacing w:before="0" w:after="0"/>
        <w:jc w:val="both"/>
        <w:rPr>
          <w:sz w:val="22"/>
          <w:szCs w:val="22"/>
        </w:rPr>
      </w:pPr>
      <w:r>
        <w:rPr>
          <w:sz w:val="22"/>
          <w:szCs w:val="22"/>
        </w:rPr>
        <w:t xml:space="preserve">Again the picture in the </w:t>
      </w:r>
      <w:r w:rsidR="00995553">
        <w:rPr>
          <w:sz w:val="22"/>
          <w:szCs w:val="22"/>
        </w:rPr>
        <w:t>Riverina Murray</w:t>
      </w:r>
      <w:r>
        <w:rPr>
          <w:sz w:val="22"/>
          <w:szCs w:val="22"/>
        </w:rPr>
        <w:t xml:space="preserve"> was more varied.  </w:t>
      </w:r>
    </w:p>
    <w:p w14:paraId="3D1E7033" w14:textId="77777777" w:rsidR="00DB1C30" w:rsidRDefault="00DB1C30" w:rsidP="00F65EE6">
      <w:pPr>
        <w:numPr>
          <w:ilvl w:val="0"/>
          <w:numId w:val="32"/>
        </w:numPr>
        <w:spacing w:before="0" w:after="0"/>
        <w:jc w:val="both"/>
        <w:rPr>
          <w:sz w:val="22"/>
          <w:szCs w:val="22"/>
        </w:rPr>
      </w:pPr>
      <w:r w:rsidRPr="00DB1C30">
        <w:rPr>
          <w:sz w:val="22"/>
          <w:szCs w:val="22"/>
        </w:rPr>
        <w:lastRenderedPageBreak/>
        <w:t>Albury, Junee, Leeton, Murray River, Narrandera and Wagga Wagga have a lower proportion of affordable private rental in 2022 than in 2018 (and for Temora than in 2020)</w:t>
      </w:r>
      <w:r w:rsidR="00A3306A" w:rsidRPr="00DB1C30">
        <w:rPr>
          <w:sz w:val="22"/>
          <w:szCs w:val="22"/>
        </w:rPr>
        <w:t>, but experienced rises and falls over that time frame rather than a continuous decline.</w:t>
      </w:r>
    </w:p>
    <w:p w14:paraId="53C3346F" w14:textId="77777777" w:rsidR="00A3306A" w:rsidRDefault="00DB1C30" w:rsidP="006E0579">
      <w:pPr>
        <w:numPr>
          <w:ilvl w:val="0"/>
          <w:numId w:val="32"/>
        </w:numPr>
        <w:spacing w:before="0" w:after="0"/>
        <w:jc w:val="both"/>
        <w:rPr>
          <w:sz w:val="22"/>
          <w:szCs w:val="22"/>
        </w:rPr>
      </w:pPr>
      <w:r w:rsidRPr="00055A28">
        <w:rPr>
          <w:sz w:val="22"/>
          <w:szCs w:val="22"/>
        </w:rPr>
        <w:t>Berrigan, Edward River and Snowy</w:t>
      </w:r>
      <w:r w:rsidR="00055A28">
        <w:rPr>
          <w:sz w:val="22"/>
          <w:szCs w:val="22"/>
        </w:rPr>
        <w:t xml:space="preserve"> Valleys</w:t>
      </w:r>
      <w:r w:rsidRPr="00055A28">
        <w:rPr>
          <w:sz w:val="22"/>
          <w:szCs w:val="22"/>
        </w:rPr>
        <w:t xml:space="preserve"> </w:t>
      </w:r>
      <w:r w:rsidR="00A3306A" w:rsidRPr="00055A28">
        <w:rPr>
          <w:sz w:val="22"/>
          <w:szCs w:val="22"/>
        </w:rPr>
        <w:t xml:space="preserve">actually have a higher proportion </w:t>
      </w:r>
      <w:r w:rsidR="00055A28">
        <w:rPr>
          <w:sz w:val="22"/>
          <w:szCs w:val="22"/>
        </w:rPr>
        <w:t xml:space="preserve">of private rental affordable to low income households </w:t>
      </w:r>
      <w:r w:rsidR="00A3306A" w:rsidRPr="00055A28">
        <w:rPr>
          <w:sz w:val="22"/>
          <w:szCs w:val="22"/>
        </w:rPr>
        <w:t>in 2022 than in 2018 while there are data gaps for the remaining LGAs.</w:t>
      </w:r>
    </w:p>
    <w:p w14:paraId="02BF7359" w14:textId="77777777" w:rsidR="00DB7C90" w:rsidRPr="00055A28" w:rsidRDefault="00DB7C90" w:rsidP="006E0579">
      <w:pPr>
        <w:numPr>
          <w:ilvl w:val="0"/>
          <w:numId w:val="32"/>
        </w:numPr>
        <w:spacing w:before="0" w:after="0"/>
        <w:jc w:val="both"/>
        <w:rPr>
          <w:sz w:val="22"/>
          <w:szCs w:val="22"/>
        </w:rPr>
      </w:pPr>
      <w:r>
        <w:rPr>
          <w:sz w:val="22"/>
          <w:szCs w:val="22"/>
        </w:rPr>
        <w:t>None of the Riverina Murray LGAs have a lower proportion of affordable private rental for low income households than the Rest of NSW average of 45.3% at June 2022.  Wagga Wagga has the lowest proportion with 66.7%, followed by Murray River with 72.6% and Albury with 77.5%.</w:t>
      </w:r>
    </w:p>
    <w:p w14:paraId="05B8DBD3" w14:textId="7C4F657A" w:rsidR="00A3306A" w:rsidRPr="00AD4AE9" w:rsidRDefault="00A3306A" w:rsidP="00A3306A">
      <w:pPr>
        <w:numPr>
          <w:ilvl w:val="0"/>
          <w:numId w:val="32"/>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low income</w:t>
      </w:r>
      <w:r w:rsidRPr="003020E4">
        <w:rPr>
          <w:sz w:val="22"/>
          <w:szCs w:val="22"/>
        </w:rPr>
        <w:t xml:space="preserve"> households in </w:t>
      </w:r>
      <w:r w:rsidR="00055A28">
        <w:rPr>
          <w:sz w:val="22"/>
          <w:szCs w:val="22"/>
        </w:rPr>
        <w:t xml:space="preserve">Riverina Murray </w:t>
      </w:r>
      <w:r w:rsidRPr="003020E4">
        <w:rPr>
          <w:sz w:val="22"/>
          <w:szCs w:val="22"/>
        </w:rPr>
        <w:t>between 201</w:t>
      </w:r>
      <w:r w:rsidR="00DC2551">
        <w:rPr>
          <w:sz w:val="22"/>
          <w:szCs w:val="22"/>
        </w:rPr>
        <w:t>7</w:t>
      </w:r>
      <w:r w:rsidRPr="003020E4">
        <w:rPr>
          <w:sz w:val="22"/>
          <w:szCs w:val="22"/>
        </w:rPr>
        <w:t xml:space="preserve"> and 2022</w:t>
      </w:r>
      <w:r>
        <w:rPr>
          <w:sz w:val="22"/>
          <w:szCs w:val="22"/>
        </w:rPr>
        <w:t>.</w:t>
      </w:r>
    </w:p>
    <w:p w14:paraId="1FD5F3DD" w14:textId="77777777" w:rsidR="00A3306A" w:rsidRDefault="00A3306A" w:rsidP="00A3306A">
      <w:pPr>
        <w:spacing w:before="0" w:after="0"/>
        <w:jc w:val="both"/>
        <w:rPr>
          <w:noProof/>
          <w:sz w:val="20"/>
          <w:szCs w:val="20"/>
        </w:rPr>
      </w:pPr>
      <w:r>
        <w:rPr>
          <w:sz w:val="22"/>
          <w:szCs w:val="22"/>
        </w:rPr>
        <w:t xml:space="preserve"> </w:t>
      </w:r>
    </w:p>
    <w:p w14:paraId="606695B2" w14:textId="77777777" w:rsidR="00A3306A" w:rsidRPr="003A0BC9" w:rsidRDefault="00A3306A" w:rsidP="00A3306A">
      <w:pPr>
        <w:spacing w:before="0" w:after="0"/>
        <w:jc w:val="both"/>
        <w:rPr>
          <w:noProof/>
          <w:sz w:val="22"/>
          <w:szCs w:val="22"/>
        </w:rPr>
      </w:pPr>
      <w:r>
        <w:rPr>
          <w:noProof/>
          <w:sz w:val="22"/>
          <w:szCs w:val="22"/>
        </w:rPr>
        <w:t>Proportion private rental affordable for low income households</w:t>
      </w:r>
    </w:p>
    <w:p w14:paraId="5A89BC68" w14:textId="082ECEF8" w:rsidR="005F1322" w:rsidRDefault="00C122EE" w:rsidP="005F1322">
      <w:pPr>
        <w:spacing w:before="0" w:after="0"/>
        <w:rPr>
          <w:sz w:val="22"/>
          <w:szCs w:val="22"/>
        </w:rPr>
      </w:pPr>
      <w:r w:rsidRPr="00C122EE">
        <w:rPr>
          <w:noProof/>
        </w:rPr>
        <w:drawing>
          <wp:inline distT="0" distB="0" distL="0" distR="0" wp14:anchorId="7C95D5BE" wp14:editId="0CEB2976">
            <wp:extent cx="5274310" cy="3039745"/>
            <wp:effectExtent l="0" t="0" r="254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039745"/>
                    </a:xfrm>
                    <a:prstGeom prst="rect">
                      <a:avLst/>
                    </a:prstGeom>
                    <a:noFill/>
                    <a:ln>
                      <a:noFill/>
                    </a:ln>
                  </pic:spPr>
                </pic:pic>
              </a:graphicData>
            </a:graphic>
          </wp:inline>
        </w:drawing>
      </w:r>
    </w:p>
    <w:p w14:paraId="710DCD73" w14:textId="77777777" w:rsidR="00A3306A" w:rsidRDefault="00A3306A" w:rsidP="005F1322">
      <w:pPr>
        <w:spacing w:before="0" w:after="0"/>
        <w:rPr>
          <w:sz w:val="22"/>
          <w:szCs w:val="22"/>
        </w:rPr>
      </w:pPr>
    </w:p>
    <w:p w14:paraId="398FB5A8" w14:textId="4BEBC875" w:rsidR="00A3306A" w:rsidRDefault="00C122EE" w:rsidP="005F1322">
      <w:pPr>
        <w:spacing w:before="0" w:after="0"/>
        <w:rPr>
          <w:sz w:val="22"/>
          <w:szCs w:val="22"/>
        </w:rPr>
      </w:pPr>
      <w:r>
        <w:rPr>
          <w:noProof/>
          <w:sz w:val="22"/>
          <w:szCs w:val="22"/>
        </w:rPr>
        <w:lastRenderedPageBreak/>
        <w:drawing>
          <wp:inline distT="0" distB="0" distL="0" distR="0" wp14:anchorId="35415310" wp14:editId="755DCE11">
            <wp:extent cx="5988962" cy="321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7459" cy="3224018"/>
                    </a:xfrm>
                    <a:prstGeom prst="rect">
                      <a:avLst/>
                    </a:prstGeom>
                    <a:noFill/>
                  </pic:spPr>
                </pic:pic>
              </a:graphicData>
            </a:graphic>
          </wp:inline>
        </w:drawing>
      </w:r>
    </w:p>
    <w:p w14:paraId="5938B1B1" w14:textId="77777777" w:rsidR="005F1322" w:rsidRDefault="005F1322" w:rsidP="005F1322">
      <w:pPr>
        <w:spacing w:before="0" w:after="0"/>
        <w:rPr>
          <w:sz w:val="22"/>
          <w:szCs w:val="22"/>
        </w:rPr>
      </w:pPr>
    </w:p>
    <w:p w14:paraId="6F05ADF6" w14:textId="77777777" w:rsidR="005F1322" w:rsidRDefault="005F1322" w:rsidP="005F1322">
      <w:pPr>
        <w:spacing w:before="0" w:after="0"/>
        <w:rPr>
          <w:sz w:val="22"/>
          <w:szCs w:val="22"/>
        </w:rPr>
      </w:pPr>
    </w:p>
    <w:p w14:paraId="47EFAE54" w14:textId="77777777" w:rsidR="00074C65" w:rsidRPr="00717F47" w:rsidRDefault="00074C65" w:rsidP="00074C65">
      <w:pPr>
        <w:numPr>
          <w:ilvl w:val="0"/>
          <w:numId w:val="32"/>
        </w:numPr>
        <w:spacing w:before="0" w:after="0"/>
        <w:rPr>
          <w:sz w:val="22"/>
          <w:szCs w:val="22"/>
        </w:rPr>
      </w:pPr>
      <w:r w:rsidRPr="00717F47">
        <w:rPr>
          <w:sz w:val="22"/>
          <w:szCs w:val="22"/>
        </w:rPr>
        <w:t xml:space="preserve">The University of Sydney Urban Housing Lab undertook a study and prepared a report for the Australian Coastal Councils on short term holiday rentals: “Planning responses to online short term holiday rental platforms” -  Research Project for Australian Coastal Councils Association Inc. September 2018  by Nicole </w:t>
      </w:r>
      <w:proofErr w:type="spellStart"/>
      <w:r w:rsidRPr="00717F47">
        <w:rPr>
          <w:sz w:val="22"/>
          <w:szCs w:val="22"/>
        </w:rPr>
        <w:t>Gurran</w:t>
      </w:r>
      <w:proofErr w:type="spellEnd"/>
      <w:r w:rsidRPr="00717F47">
        <w:rPr>
          <w:sz w:val="22"/>
          <w:szCs w:val="22"/>
        </w:rPr>
        <w:t xml:space="preserve">, </w:t>
      </w:r>
      <w:proofErr w:type="spellStart"/>
      <w:r w:rsidRPr="00717F47">
        <w:rPr>
          <w:sz w:val="22"/>
          <w:szCs w:val="22"/>
        </w:rPr>
        <w:t>Yuting</w:t>
      </w:r>
      <w:proofErr w:type="spellEnd"/>
      <w:r w:rsidRPr="00717F47">
        <w:rPr>
          <w:sz w:val="22"/>
          <w:szCs w:val="22"/>
        </w:rPr>
        <w:t xml:space="preserve"> Zhang, </w:t>
      </w:r>
      <w:proofErr w:type="spellStart"/>
      <w:r w:rsidRPr="00717F47">
        <w:rPr>
          <w:sz w:val="22"/>
          <w:szCs w:val="22"/>
        </w:rPr>
        <w:t>Pranita</w:t>
      </w:r>
      <w:proofErr w:type="spellEnd"/>
      <w:r w:rsidRPr="00717F47">
        <w:rPr>
          <w:sz w:val="22"/>
          <w:szCs w:val="22"/>
        </w:rPr>
        <w:t xml:space="preserve"> Shrestha, Catherine Gilbert.  </w:t>
      </w:r>
    </w:p>
    <w:p w14:paraId="50FF9F03" w14:textId="77777777" w:rsidR="005F1322" w:rsidRDefault="00074C65" w:rsidP="00074C65">
      <w:pPr>
        <w:pStyle w:val="ListParagraph"/>
        <w:numPr>
          <w:ilvl w:val="0"/>
          <w:numId w:val="32"/>
        </w:numPr>
        <w:spacing w:before="0" w:after="0"/>
        <w:rPr>
          <w:sz w:val="22"/>
          <w:szCs w:val="22"/>
        </w:rPr>
      </w:pPr>
      <w:r w:rsidRPr="00074C65">
        <w:rPr>
          <w:sz w:val="22"/>
          <w:szCs w:val="22"/>
        </w:rPr>
        <w:t>The study found (p7) “that there has been a rapid growth in online holiday rental listings overall and in coastal Australia in particular. Since Airbnb was launched in Australia, the number of listings has risen to over 130,000 properties, amounting to 3.5% of rental accommodation.</w:t>
      </w:r>
    </w:p>
    <w:p w14:paraId="79840F67" w14:textId="77777777" w:rsidR="00074C65" w:rsidRPr="00D756D2" w:rsidRDefault="00074C65" w:rsidP="00074C65">
      <w:pPr>
        <w:numPr>
          <w:ilvl w:val="0"/>
          <w:numId w:val="32"/>
        </w:numPr>
        <w:spacing w:before="0" w:after="0"/>
        <w:rPr>
          <w:sz w:val="22"/>
          <w:szCs w:val="22"/>
        </w:rPr>
      </w:pPr>
      <w:r>
        <w:rPr>
          <w:sz w:val="22"/>
          <w:szCs w:val="22"/>
        </w:rPr>
        <w:t>This is impacting communities in a number of ways – by increasing competition for purchase</w:t>
      </w:r>
      <w:r w:rsidR="00A46184">
        <w:rPr>
          <w:sz w:val="22"/>
          <w:szCs w:val="22"/>
        </w:rPr>
        <w:t xml:space="preserve"> for investment in Airbnb properties</w:t>
      </w:r>
      <w:r>
        <w:rPr>
          <w:sz w:val="22"/>
          <w:szCs w:val="22"/>
        </w:rPr>
        <w:t>, purchase prices are increasing as are rents.  This impacts both home purchasers and long term renters, with evidence of lower income renters being priced out of some communities.</w:t>
      </w:r>
    </w:p>
    <w:p w14:paraId="5A4FD009" w14:textId="77777777" w:rsidR="005F1322" w:rsidRDefault="00074C65" w:rsidP="00BE5B58">
      <w:pPr>
        <w:pStyle w:val="ListParagraph"/>
        <w:numPr>
          <w:ilvl w:val="0"/>
          <w:numId w:val="32"/>
        </w:numPr>
        <w:spacing w:before="0" w:after="0"/>
        <w:rPr>
          <w:sz w:val="22"/>
          <w:szCs w:val="22"/>
        </w:rPr>
      </w:pPr>
      <w:r w:rsidRPr="00074C65">
        <w:rPr>
          <w:sz w:val="22"/>
          <w:szCs w:val="22"/>
        </w:rPr>
        <w:t xml:space="preserve">More recently, research by SQM showed that between July 2019 and July 2020 </w:t>
      </w:r>
      <w:r>
        <w:rPr>
          <w:sz w:val="22"/>
          <w:szCs w:val="22"/>
        </w:rPr>
        <w:t xml:space="preserve">Hay had a 100% increase in listings of short term rentals, Narrandera had a 29% increase, Berrigan 10%, Tumut 2%, </w:t>
      </w:r>
      <w:r w:rsidR="0006335D">
        <w:rPr>
          <w:sz w:val="22"/>
          <w:szCs w:val="22"/>
        </w:rPr>
        <w:t xml:space="preserve">a decline of -8% in Wagga Wagga, </w:t>
      </w:r>
      <w:r w:rsidR="00A46184">
        <w:rPr>
          <w:sz w:val="22"/>
          <w:szCs w:val="22"/>
        </w:rPr>
        <w:t xml:space="preserve">-10% in Albury, -12% in Griffith, </w:t>
      </w:r>
      <w:r w:rsidR="0012580B">
        <w:rPr>
          <w:sz w:val="22"/>
          <w:szCs w:val="22"/>
        </w:rPr>
        <w:t>-17% in Snowy River, -20% in Gundagai-Cootamundra and -37% in Greater Hume.</w:t>
      </w:r>
    </w:p>
    <w:p w14:paraId="42ECDF95" w14:textId="3E14354C" w:rsidR="0012580B" w:rsidRPr="00074C65" w:rsidRDefault="0012580B" w:rsidP="00BE5B58">
      <w:pPr>
        <w:pStyle w:val="ListParagraph"/>
        <w:numPr>
          <w:ilvl w:val="0"/>
          <w:numId w:val="32"/>
        </w:numPr>
        <w:spacing w:before="0" w:after="0"/>
        <w:rPr>
          <w:sz w:val="22"/>
          <w:szCs w:val="22"/>
        </w:rPr>
      </w:pPr>
      <w:r>
        <w:rPr>
          <w:sz w:val="22"/>
          <w:szCs w:val="22"/>
        </w:rPr>
        <w:t>Since 2020 it is likely that Airbnb listings have picked up again in the Riverina Murray, except in those areas hit by floods.</w:t>
      </w:r>
    </w:p>
    <w:p w14:paraId="144A29B4" w14:textId="77777777" w:rsidR="005F1322" w:rsidRDefault="005F1322" w:rsidP="00074C65">
      <w:pPr>
        <w:spacing w:before="0" w:after="0"/>
        <w:jc w:val="right"/>
        <w:rPr>
          <w:sz w:val="22"/>
          <w:szCs w:val="22"/>
        </w:rPr>
      </w:pPr>
    </w:p>
    <w:p w14:paraId="2295F833" w14:textId="77777777" w:rsidR="009D2867" w:rsidRPr="008266CC" w:rsidRDefault="009D2867" w:rsidP="009D2867">
      <w:pPr>
        <w:rPr>
          <w:sz w:val="20"/>
          <w:szCs w:val="20"/>
        </w:rPr>
      </w:pPr>
    </w:p>
    <w:p w14:paraId="6E5F8CC6" w14:textId="77777777" w:rsidR="009D2867" w:rsidRPr="008266CC" w:rsidRDefault="009D2867" w:rsidP="009D2867">
      <w:pPr>
        <w:rPr>
          <w:b/>
          <w:color w:val="008000"/>
          <w:sz w:val="32"/>
        </w:rPr>
      </w:pPr>
      <w:r w:rsidRPr="008266CC">
        <w:rPr>
          <w:b/>
          <w:color w:val="008000"/>
          <w:sz w:val="32"/>
        </w:rPr>
        <w:t>Rental Stress</w:t>
      </w:r>
    </w:p>
    <w:p w14:paraId="62A8765F" w14:textId="77777777" w:rsidR="00347998" w:rsidRPr="00E44A18" w:rsidRDefault="00347998" w:rsidP="00347998">
      <w:pPr>
        <w:numPr>
          <w:ilvl w:val="0"/>
          <w:numId w:val="20"/>
        </w:numPr>
        <w:spacing w:before="0" w:after="0"/>
        <w:rPr>
          <w:sz w:val="22"/>
          <w:szCs w:val="22"/>
        </w:rPr>
      </w:pPr>
      <w:r w:rsidRPr="00E44A18">
        <w:rPr>
          <w:sz w:val="22"/>
          <w:szCs w:val="22"/>
        </w:rPr>
        <w:t xml:space="preserve">Households regarded as being in rental stress are renting in the private rental market and paying more than 30% of their income in rent.  Lower income households in rental stress will struggle to pay for other essential household </w:t>
      </w:r>
      <w:r w:rsidRPr="00E44A18">
        <w:rPr>
          <w:sz w:val="22"/>
          <w:szCs w:val="22"/>
        </w:rPr>
        <w:lastRenderedPageBreak/>
        <w:t xml:space="preserve">costs, such as medical or educational expenses, food, transport and energy costs. </w:t>
      </w:r>
    </w:p>
    <w:p w14:paraId="73D210D2" w14:textId="77777777" w:rsidR="00361F62" w:rsidRDefault="00347998" w:rsidP="00347998">
      <w:pPr>
        <w:numPr>
          <w:ilvl w:val="0"/>
          <w:numId w:val="20"/>
        </w:numPr>
        <w:spacing w:before="0" w:after="0"/>
        <w:jc w:val="both"/>
        <w:rPr>
          <w:sz w:val="22"/>
          <w:szCs w:val="22"/>
        </w:rPr>
      </w:pPr>
      <w:r w:rsidRPr="00C94A4D">
        <w:rPr>
          <w:sz w:val="22"/>
          <w:szCs w:val="22"/>
        </w:rPr>
        <w:t>At June 2021 the proportion of very low income households in rental stress in the Rest of NSW (that is, excluding Sydney) was 91.7%.  Within</w:t>
      </w:r>
      <w:r>
        <w:rPr>
          <w:sz w:val="22"/>
          <w:szCs w:val="22"/>
        </w:rPr>
        <w:t xml:space="preserve"> the </w:t>
      </w:r>
      <w:r w:rsidR="00361F62">
        <w:rPr>
          <w:sz w:val="22"/>
          <w:szCs w:val="22"/>
        </w:rPr>
        <w:t xml:space="preserve">Riverina Murray region, the average was </w:t>
      </w:r>
      <w:r w:rsidR="00905830">
        <w:rPr>
          <w:sz w:val="22"/>
          <w:szCs w:val="22"/>
        </w:rPr>
        <w:t>86.3%, with the proportion varying from 91.8% in Albury to 64.6% in Bland.</w:t>
      </w:r>
    </w:p>
    <w:p w14:paraId="5CDC4139" w14:textId="77777777" w:rsidR="00347998" w:rsidRPr="00905830" w:rsidRDefault="00905830" w:rsidP="00905830">
      <w:pPr>
        <w:numPr>
          <w:ilvl w:val="0"/>
          <w:numId w:val="20"/>
        </w:numPr>
        <w:spacing w:before="0" w:after="0"/>
        <w:jc w:val="both"/>
        <w:rPr>
          <w:sz w:val="22"/>
          <w:szCs w:val="22"/>
        </w:rPr>
      </w:pPr>
      <w:r>
        <w:rPr>
          <w:sz w:val="22"/>
          <w:szCs w:val="22"/>
        </w:rPr>
        <w:t>Albury was t</w:t>
      </w:r>
      <w:r w:rsidR="00347998" w:rsidRPr="00905830">
        <w:rPr>
          <w:sz w:val="22"/>
          <w:szCs w:val="22"/>
        </w:rPr>
        <w:t xml:space="preserve">he only </w:t>
      </w:r>
      <w:r>
        <w:rPr>
          <w:sz w:val="22"/>
          <w:szCs w:val="22"/>
        </w:rPr>
        <w:t xml:space="preserve">Riverina Murray </w:t>
      </w:r>
      <w:r w:rsidR="00347998" w:rsidRPr="00905830">
        <w:rPr>
          <w:sz w:val="22"/>
          <w:szCs w:val="22"/>
        </w:rPr>
        <w:t>LGA which had a higher proportion of very low income households in rental stress than the average for the Rest of NSW.</w:t>
      </w:r>
    </w:p>
    <w:p w14:paraId="08BF0825" w14:textId="77777777" w:rsidR="00347998" w:rsidRDefault="00347998" w:rsidP="00347998">
      <w:pPr>
        <w:numPr>
          <w:ilvl w:val="0"/>
          <w:numId w:val="20"/>
        </w:numPr>
        <w:spacing w:before="0" w:after="0"/>
        <w:jc w:val="both"/>
        <w:rPr>
          <w:sz w:val="22"/>
          <w:szCs w:val="22"/>
        </w:rPr>
      </w:pPr>
      <w:r w:rsidRPr="003659AA">
        <w:rPr>
          <w:sz w:val="22"/>
          <w:szCs w:val="22"/>
        </w:rPr>
        <w:t xml:space="preserve">For the Rest of NSW at 2021 the proportion of low income households in rental was 68.3%, with </w:t>
      </w:r>
      <w:r w:rsidR="00905830">
        <w:rPr>
          <w:sz w:val="22"/>
          <w:szCs w:val="22"/>
        </w:rPr>
        <w:t xml:space="preserve">Riverina Murray </w:t>
      </w:r>
      <w:r w:rsidRPr="003659AA">
        <w:rPr>
          <w:sz w:val="22"/>
          <w:szCs w:val="22"/>
        </w:rPr>
        <w:t xml:space="preserve">on average much lower with </w:t>
      </w:r>
      <w:r w:rsidR="00905830">
        <w:rPr>
          <w:sz w:val="22"/>
          <w:szCs w:val="22"/>
        </w:rPr>
        <w:t>49.0</w:t>
      </w:r>
      <w:r w:rsidRPr="003659AA">
        <w:rPr>
          <w:sz w:val="22"/>
          <w:szCs w:val="22"/>
        </w:rPr>
        <w:t xml:space="preserve">%.  Across the region the proportion of low income households in stress ranged from </w:t>
      </w:r>
      <w:r w:rsidR="00905830">
        <w:rPr>
          <w:sz w:val="22"/>
          <w:szCs w:val="22"/>
        </w:rPr>
        <w:t>56.</w:t>
      </w:r>
      <w:r w:rsidR="000F3E42">
        <w:rPr>
          <w:sz w:val="22"/>
          <w:szCs w:val="22"/>
        </w:rPr>
        <w:t>9</w:t>
      </w:r>
      <w:r w:rsidRPr="003659AA">
        <w:rPr>
          <w:sz w:val="22"/>
          <w:szCs w:val="22"/>
        </w:rPr>
        <w:t xml:space="preserve">% in </w:t>
      </w:r>
      <w:r w:rsidR="00905830">
        <w:rPr>
          <w:sz w:val="22"/>
          <w:szCs w:val="22"/>
        </w:rPr>
        <w:t xml:space="preserve">Wagga Wagga </w:t>
      </w:r>
      <w:r w:rsidRPr="003659AA">
        <w:rPr>
          <w:sz w:val="22"/>
          <w:szCs w:val="22"/>
        </w:rPr>
        <w:t xml:space="preserve">to </w:t>
      </w:r>
      <w:r w:rsidR="000F3E42">
        <w:rPr>
          <w:sz w:val="22"/>
          <w:szCs w:val="22"/>
        </w:rPr>
        <w:t>20.4</w:t>
      </w:r>
      <w:r w:rsidRPr="003659AA">
        <w:rPr>
          <w:sz w:val="22"/>
          <w:szCs w:val="22"/>
        </w:rPr>
        <w:t>% in</w:t>
      </w:r>
      <w:r w:rsidR="00AF2ED9">
        <w:rPr>
          <w:sz w:val="22"/>
          <w:szCs w:val="22"/>
        </w:rPr>
        <w:t xml:space="preserve"> </w:t>
      </w:r>
      <w:r w:rsidR="000F3E42">
        <w:rPr>
          <w:sz w:val="22"/>
          <w:szCs w:val="22"/>
        </w:rPr>
        <w:t>Bland</w:t>
      </w:r>
      <w:r w:rsidRPr="003659AA">
        <w:rPr>
          <w:sz w:val="22"/>
          <w:szCs w:val="22"/>
        </w:rPr>
        <w:t xml:space="preserve">. </w:t>
      </w:r>
      <w:r w:rsidR="00905830">
        <w:rPr>
          <w:sz w:val="22"/>
          <w:szCs w:val="22"/>
        </w:rPr>
        <w:t>Wagga Wagga and Albury (56.3%) were the only two LGAs</w:t>
      </w:r>
      <w:r w:rsidR="00AA61B1">
        <w:rPr>
          <w:sz w:val="22"/>
          <w:szCs w:val="22"/>
        </w:rPr>
        <w:t xml:space="preserve"> in the region</w:t>
      </w:r>
      <w:r w:rsidR="00905830">
        <w:rPr>
          <w:sz w:val="22"/>
          <w:szCs w:val="22"/>
        </w:rPr>
        <w:t xml:space="preserve"> with </w:t>
      </w:r>
      <w:r w:rsidRPr="003659AA">
        <w:rPr>
          <w:sz w:val="22"/>
          <w:szCs w:val="22"/>
        </w:rPr>
        <w:t>a higher proportion of low income households in rental stress than the Rest of NSW.</w:t>
      </w:r>
    </w:p>
    <w:p w14:paraId="23A81E27" w14:textId="77777777" w:rsidR="00AD0221" w:rsidRDefault="00AD0221" w:rsidP="00347998">
      <w:pPr>
        <w:numPr>
          <w:ilvl w:val="0"/>
          <w:numId w:val="20"/>
        </w:numPr>
        <w:spacing w:before="0" w:after="0"/>
        <w:jc w:val="both"/>
        <w:rPr>
          <w:sz w:val="22"/>
          <w:szCs w:val="22"/>
        </w:rPr>
      </w:pPr>
      <w:r>
        <w:rPr>
          <w:sz w:val="22"/>
          <w:szCs w:val="22"/>
        </w:rPr>
        <w:t xml:space="preserve">Between 2016 and 2021 only three Riverina Murray LGAs experienced a </w:t>
      </w:r>
      <w:r w:rsidR="008430E0">
        <w:rPr>
          <w:sz w:val="22"/>
          <w:szCs w:val="22"/>
        </w:rPr>
        <w:t xml:space="preserve">decline </w:t>
      </w:r>
      <w:r>
        <w:rPr>
          <w:sz w:val="22"/>
          <w:szCs w:val="22"/>
        </w:rPr>
        <w:t xml:space="preserve">in the proportion of </w:t>
      </w:r>
      <w:r w:rsidRPr="00CF2AD4">
        <w:rPr>
          <w:b/>
          <w:bCs/>
          <w:sz w:val="22"/>
          <w:szCs w:val="22"/>
        </w:rPr>
        <w:t>very low income</w:t>
      </w:r>
      <w:r>
        <w:rPr>
          <w:sz w:val="22"/>
          <w:szCs w:val="22"/>
        </w:rPr>
        <w:t xml:space="preserve"> rental households in stress (Bland, Hay and Wagga Wagga)</w:t>
      </w:r>
      <w:r w:rsidR="00DE588D">
        <w:rPr>
          <w:sz w:val="22"/>
          <w:szCs w:val="22"/>
        </w:rPr>
        <w:t>,</w:t>
      </w:r>
      <w:r>
        <w:rPr>
          <w:sz w:val="22"/>
          <w:szCs w:val="22"/>
        </w:rPr>
        <w:t xml:space="preserve"> while all other LGAs in the region saw a</w:t>
      </w:r>
      <w:r w:rsidR="008430E0">
        <w:rPr>
          <w:sz w:val="22"/>
          <w:szCs w:val="22"/>
        </w:rPr>
        <w:t>n increase, in line with the average for the Rest of NSW</w:t>
      </w:r>
      <w:r>
        <w:rPr>
          <w:sz w:val="22"/>
          <w:szCs w:val="22"/>
        </w:rPr>
        <w:t xml:space="preserve">. </w:t>
      </w:r>
    </w:p>
    <w:p w14:paraId="0399862E" w14:textId="77777777" w:rsidR="008430E0" w:rsidRDefault="00AD0221" w:rsidP="00483CA4">
      <w:pPr>
        <w:numPr>
          <w:ilvl w:val="0"/>
          <w:numId w:val="20"/>
        </w:numPr>
        <w:spacing w:before="0" w:after="0"/>
        <w:jc w:val="both"/>
        <w:rPr>
          <w:sz w:val="22"/>
          <w:szCs w:val="22"/>
        </w:rPr>
      </w:pPr>
      <w:r>
        <w:rPr>
          <w:sz w:val="22"/>
          <w:szCs w:val="22"/>
        </w:rPr>
        <w:t xml:space="preserve">For </w:t>
      </w:r>
      <w:r w:rsidRPr="00CF2AD4">
        <w:rPr>
          <w:b/>
          <w:bCs/>
          <w:sz w:val="22"/>
          <w:szCs w:val="22"/>
        </w:rPr>
        <w:t>low income</w:t>
      </w:r>
      <w:r>
        <w:rPr>
          <w:sz w:val="22"/>
          <w:szCs w:val="22"/>
        </w:rPr>
        <w:t xml:space="preserve"> rental households</w:t>
      </w:r>
      <w:r w:rsidR="00DE588D">
        <w:rPr>
          <w:sz w:val="22"/>
          <w:szCs w:val="22"/>
        </w:rPr>
        <w:t xml:space="preserve"> between 2016 and 2021</w:t>
      </w:r>
      <w:r>
        <w:rPr>
          <w:sz w:val="22"/>
          <w:szCs w:val="22"/>
        </w:rPr>
        <w:t xml:space="preserve">, the proportion in stress </w:t>
      </w:r>
      <w:r w:rsidR="00DE588D">
        <w:rPr>
          <w:sz w:val="22"/>
          <w:szCs w:val="22"/>
        </w:rPr>
        <w:t>increased in every Riverina Murray LGA</w:t>
      </w:r>
      <w:r w:rsidR="008430E0">
        <w:rPr>
          <w:sz w:val="22"/>
          <w:szCs w:val="22"/>
        </w:rPr>
        <w:t xml:space="preserve">, in line with the average for the Rest of NSW, </w:t>
      </w:r>
      <w:r w:rsidR="00DE588D">
        <w:rPr>
          <w:sz w:val="22"/>
          <w:szCs w:val="22"/>
        </w:rPr>
        <w:t xml:space="preserve">excepting Bland and </w:t>
      </w:r>
      <w:proofErr w:type="spellStart"/>
      <w:r w:rsidR="008430E0">
        <w:rPr>
          <w:sz w:val="22"/>
          <w:szCs w:val="22"/>
        </w:rPr>
        <w:t>Carathool</w:t>
      </w:r>
      <w:proofErr w:type="spellEnd"/>
      <w:r w:rsidR="008430E0">
        <w:rPr>
          <w:sz w:val="22"/>
          <w:szCs w:val="22"/>
        </w:rPr>
        <w:t>.</w:t>
      </w:r>
    </w:p>
    <w:p w14:paraId="33BD352E" w14:textId="77777777" w:rsidR="00347998" w:rsidRPr="00CE75F0" w:rsidRDefault="00347998" w:rsidP="00347998">
      <w:pPr>
        <w:pStyle w:val="ListParagraph"/>
        <w:numPr>
          <w:ilvl w:val="0"/>
          <w:numId w:val="20"/>
        </w:numPr>
        <w:spacing w:before="0" w:after="0"/>
        <w:rPr>
          <w:sz w:val="22"/>
          <w:szCs w:val="22"/>
        </w:rPr>
      </w:pPr>
      <w:r>
        <w:rPr>
          <w:sz w:val="22"/>
          <w:szCs w:val="22"/>
        </w:rPr>
        <w:t>Below is a graph of the proportion of very low and low income households in rental stress in each Central West and Orana LGA at 2021 and a table showing the change in the proportion of very low and low income households in stress between 2016 and 2021.</w:t>
      </w:r>
    </w:p>
    <w:p w14:paraId="7CADEE77" w14:textId="77777777" w:rsidR="00347998" w:rsidRDefault="00347998" w:rsidP="00347998">
      <w:pPr>
        <w:spacing w:before="0" w:after="0"/>
        <w:rPr>
          <w:sz w:val="22"/>
          <w:szCs w:val="22"/>
        </w:rPr>
      </w:pPr>
    </w:p>
    <w:p w14:paraId="37A23362" w14:textId="77777777" w:rsidR="00347998" w:rsidRDefault="00A95DCC" w:rsidP="00347998">
      <w:pPr>
        <w:spacing w:before="0" w:after="0"/>
        <w:rPr>
          <w:sz w:val="22"/>
          <w:szCs w:val="22"/>
        </w:rPr>
      </w:pPr>
      <w:r>
        <w:rPr>
          <w:noProof/>
          <w:sz w:val="22"/>
          <w:szCs w:val="22"/>
        </w:rPr>
        <w:drawing>
          <wp:inline distT="0" distB="0" distL="0" distR="0" wp14:anchorId="058008E0" wp14:editId="1BE13026">
            <wp:extent cx="6175375" cy="2964608"/>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5602" cy="2983920"/>
                    </a:xfrm>
                    <a:prstGeom prst="rect">
                      <a:avLst/>
                    </a:prstGeom>
                    <a:noFill/>
                  </pic:spPr>
                </pic:pic>
              </a:graphicData>
            </a:graphic>
          </wp:inline>
        </w:drawing>
      </w:r>
    </w:p>
    <w:p w14:paraId="6499FCA8" w14:textId="77777777" w:rsidR="00347998" w:rsidRDefault="00347998" w:rsidP="00347998">
      <w:pPr>
        <w:spacing w:before="0" w:after="0"/>
        <w:rPr>
          <w:sz w:val="22"/>
          <w:szCs w:val="22"/>
        </w:rPr>
      </w:pPr>
    </w:p>
    <w:p w14:paraId="51A0AF76" w14:textId="77777777" w:rsidR="002747DF" w:rsidRDefault="002747DF" w:rsidP="00276662">
      <w:pPr>
        <w:pStyle w:val="ListParagraph"/>
        <w:numPr>
          <w:ilvl w:val="0"/>
          <w:numId w:val="33"/>
        </w:numPr>
        <w:jc w:val="both"/>
        <w:rPr>
          <w:sz w:val="22"/>
          <w:szCs w:val="22"/>
        </w:rPr>
      </w:pPr>
      <w:r>
        <w:rPr>
          <w:sz w:val="22"/>
          <w:szCs w:val="22"/>
        </w:rPr>
        <w:t xml:space="preserve">At June 2021 there were </w:t>
      </w:r>
      <w:r w:rsidR="00482EA5">
        <w:rPr>
          <w:sz w:val="22"/>
          <w:szCs w:val="22"/>
        </w:rPr>
        <w:t>6,554</w:t>
      </w:r>
      <w:r>
        <w:rPr>
          <w:sz w:val="22"/>
          <w:szCs w:val="22"/>
        </w:rPr>
        <w:t xml:space="preserve"> very low and low income renters in housing stress across the Riverina Murray.  </w:t>
      </w:r>
      <w:r w:rsidR="00655200">
        <w:rPr>
          <w:sz w:val="22"/>
          <w:szCs w:val="22"/>
        </w:rPr>
        <w:t xml:space="preserve">Albury had the highest number of very low and low income renters in stress with </w:t>
      </w:r>
      <w:r w:rsidR="00482EA5">
        <w:rPr>
          <w:sz w:val="22"/>
          <w:szCs w:val="22"/>
        </w:rPr>
        <w:t>1,933</w:t>
      </w:r>
      <w:r w:rsidR="00655200">
        <w:rPr>
          <w:sz w:val="22"/>
          <w:szCs w:val="22"/>
        </w:rPr>
        <w:t xml:space="preserve">, followed by Wagga Wagga with </w:t>
      </w:r>
      <w:r w:rsidR="00482EA5">
        <w:rPr>
          <w:sz w:val="22"/>
          <w:szCs w:val="22"/>
        </w:rPr>
        <w:t>1,772</w:t>
      </w:r>
      <w:r w:rsidR="00655200">
        <w:rPr>
          <w:sz w:val="22"/>
          <w:szCs w:val="22"/>
        </w:rPr>
        <w:t xml:space="preserve">, then Griffith with </w:t>
      </w:r>
      <w:r w:rsidR="0032504B">
        <w:rPr>
          <w:sz w:val="22"/>
          <w:szCs w:val="22"/>
        </w:rPr>
        <w:t>460.</w:t>
      </w:r>
    </w:p>
    <w:p w14:paraId="1C782048" w14:textId="77777777" w:rsidR="00276662" w:rsidRDefault="00276662" w:rsidP="00276662">
      <w:pPr>
        <w:pStyle w:val="ListParagraph"/>
        <w:numPr>
          <w:ilvl w:val="0"/>
          <w:numId w:val="33"/>
        </w:numPr>
        <w:jc w:val="both"/>
        <w:rPr>
          <w:sz w:val="22"/>
          <w:szCs w:val="22"/>
        </w:rPr>
      </w:pPr>
      <w:r>
        <w:rPr>
          <w:sz w:val="22"/>
          <w:szCs w:val="22"/>
        </w:rPr>
        <w:lastRenderedPageBreak/>
        <w:t>Below is a table comparing the proportion of very low and low income households in rental stress in Riverina Murray and the Rest of NSW in 2016 and</w:t>
      </w:r>
      <w:r w:rsidR="00655200">
        <w:rPr>
          <w:sz w:val="22"/>
          <w:szCs w:val="22"/>
        </w:rPr>
        <w:t xml:space="preserve"> </w:t>
      </w:r>
      <w:r w:rsidR="0032504B">
        <w:rPr>
          <w:sz w:val="22"/>
          <w:szCs w:val="22"/>
        </w:rPr>
        <w:t xml:space="preserve">in </w:t>
      </w:r>
      <w:r>
        <w:rPr>
          <w:sz w:val="22"/>
          <w:szCs w:val="22"/>
        </w:rPr>
        <w:t>2021.</w:t>
      </w:r>
    </w:p>
    <w:p w14:paraId="477B2F8A" w14:textId="77777777" w:rsidR="00347998" w:rsidRDefault="00AF2ED9" w:rsidP="00347998">
      <w:pPr>
        <w:spacing w:before="0" w:after="0"/>
        <w:rPr>
          <w:sz w:val="22"/>
          <w:szCs w:val="22"/>
        </w:rPr>
      </w:pPr>
      <w:r w:rsidRPr="00AF2ED9">
        <w:rPr>
          <w:noProof/>
        </w:rPr>
        <w:drawing>
          <wp:inline distT="0" distB="0" distL="0" distR="0" wp14:anchorId="2900F32E" wp14:editId="247DE93B">
            <wp:extent cx="4638675" cy="57245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675" cy="5724525"/>
                    </a:xfrm>
                    <a:prstGeom prst="rect">
                      <a:avLst/>
                    </a:prstGeom>
                    <a:noFill/>
                    <a:ln>
                      <a:noFill/>
                    </a:ln>
                  </pic:spPr>
                </pic:pic>
              </a:graphicData>
            </a:graphic>
          </wp:inline>
        </w:drawing>
      </w:r>
    </w:p>
    <w:p w14:paraId="5BDBA29D" w14:textId="77777777" w:rsidR="00347998" w:rsidRDefault="00347998" w:rsidP="00347998">
      <w:pPr>
        <w:spacing w:before="0" w:after="0"/>
        <w:rPr>
          <w:sz w:val="22"/>
          <w:szCs w:val="22"/>
        </w:rPr>
      </w:pPr>
    </w:p>
    <w:p w14:paraId="0380403B" w14:textId="77777777" w:rsidR="002724DF" w:rsidRDefault="00276662" w:rsidP="00276662">
      <w:pPr>
        <w:numPr>
          <w:ilvl w:val="0"/>
          <w:numId w:val="34"/>
        </w:numPr>
        <w:spacing w:before="0" w:after="0"/>
        <w:jc w:val="both"/>
        <w:rPr>
          <w:sz w:val="22"/>
          <w:szCs w:val="22"/>
        </w:rPr>
      </w:pPr>
      <w:r>
        <w:rPr>
          <w:sz w:val="22"/>
          <w:szCs w:val="22"/>
        </w:rPr>
        <w:t>Over the same period (2016 to 2021) that the Region experienced an increase in the proportion of very low and low income households in rental stress, the actual numbers in stress</w:t>
      </w:r>
      <w:r w:rsidR="002724DF">
        <w:rPr>
          <w:sz w:val="22"/>
          <w:szCs w:val="22"/>
        </w:rPr>
        <w:t xml:space="preserve"> for very low income households</w:t>
      </w:r>
      <w:r>
        <w:rPr>
          <w:sz w:val="22"/>
          <w:szCs w:val="22"/>
        </w:rPr>
        <w:t xml:space="preserve"> have declined </w:t>
      </w:r>
      <w:r w:rsidRPr="002724DF">
        <w:rPr>
          <w:sz w:val="22"/>
          <w:szCs w:val="22"/>
        </w:rPr>
        <w:t>in the region</w:t>
      </w:r>
      <w:r w:rsidR="002724DF">
        <w:rPr>
          <w:sz w:val="22"/>
          <w:szCs w:val="22"/>
        </w:rPr>
        <w:t xml:space="preserve">. </w:t>
      </w:r>
    </w:p>
    <w:p w14:paraId="6A2CBF25" w14:textId="01BD3845" w:rsidR="002724DF" w:rsidRDefault="002724DF" w:rsidP="00276662">
      <w:pPr>
        <w:numPr>
          <w:ilvl w:val="0"/>
          <w:numId w:val="34"/>
        </w:numPr>
        <w:spacing w:before="0" w:after="0"/>
        <w:jc w:val="both"/>
        <w:rPr>
          <w:sz w:val="22"/>
          <w:szCs w:val="22"/>
        </w:rPr>
      </w:pPr>
      <w:r>
        <w:rPr>
          <w:sz w:val="22"/>
          <w:szCs w:val="22"/>
        </w:rPr>
        <w:t>In</w:t>
      </w:r>
      <w:r w:rsidR="00693C67">
        <w:rPr>
          <w:sz w:val="22"/>
          <w:szCs w:val="22"/>
        </w:rPr>
        <w:t xml:space="preserve"> </w:t>
      </w:r>
      <w:proofErr w:type="spellStart"/>
      <w:r>
        <w:rPr>
          <w:sz w:val="22"/>
          <w:szCs w:val="22"/>
        </w:rPr>
        <w:t>Carathool</w:t>
      </w:r>
      <w:proofErr w:type="spellEnd"/>
      <w:r>
        <w:rPr>
          <w:sz w:val="22"/>
          <w:szCs w:val="22"/>
        </w:rPr>
        <w:t xml:space="preserve"> the number of </w:t>
      </w:r>
      <w:r w:rsidRPr="007E1F21">
        <w:rPr>
          <w:b/>
          <w:bCs/>
          <w:sz w:val="22"/>
          <w:szCs w:val="22"/>
        </w:rPr>
        <w:t>very low income</w:t>
      </w:r>
      <w:r>
        <w:rPr>
          <w:sz w:val="22"/>
          <w:szCs w:val="22"/>
        </w:rPr>
        <w:t xml:space="preserve"> households in stress stayed unchanged</w:t>
      </w:r>
      <w:r w:rsidR="00311144">
        <w:rPr>
          <w:sz w:val="22"/>
          <w:szCs w:val="22"/>
        </w:rPr>
        <w:t>,</w:t>
      </w:r>
      <w:r>
        <w:rPr>
          <w:sz w:val="22"/>
          <w:szCs w:val="22"/>
        </w:rPr>
        <w:t xml:space="preserve"> </w:t>
      </w:r>
      <w:r w:rsidR="00311144">
        <w:rPr>
          <w:sz w:val="22"/>
          <w:szCs w:val="22"/>
        </w:rPr>
        <w:t xml:space="preserve">while </w:t>
      </w:r>
      <w:r>
        <w:rPr>
          <w:sz w:val="22"/>
          <w:szCs w:val="22"/>
        </w:rPr>
        <w:t>the number inc</w:t>
      </w:r>
      <w:r w:rsidR="00693C67">
        <w:rPr>
          <w:sz w:val="22"/>
          <w:szCs w:val="22"/>
        </w:rPr>
        <w:t>reased in Gundagai-Cootamundra and Wagga Wagga but declined in every other Riverina Murray LGA.</w:t>
      </w:r>
    </w:p>
    <w:p w14:paraId="51ADD29F" w14:textId="77777777" w:rsidR="00693C67" w:rsidRDefault="00693C67" w:rsidP="00276662">
      <w:pPr>
        <w:numPr>
          <w:ilvl w:val="0"/>
          <w:numId w:val="34"/>
        </w:numPr>
        <w:spacing w:before="0" w:after="0"/>
        <w:jc w:val="both"/>
        <w:rPr>
          <w:sz w:val="22"/>
          <w:szCs w:val="22"/>
        </w:rPr>
      </w:pPr>
      <w:r>
        <w:rPr>
          <w:sz w:val="22"/>
          <w:szCs w:val="22"/>
        </w:rPr>
        <w:t xml:space="preserve">Only Bland and Murrumbidgee experienced a decline in the number of </w:t>
      </w:r>
      <w:r w:rsidRPr="007E1F21">
        <w:rPr>
          <w:b/>
          <w:bCs/>
          <w:sz w:val="22"/>
          <w:szCs w:val="22"/>
        </w:rPr>
        <w:t>low income</w:t>
      </w:r>
      <w:r>
        <w:rPr>
          <w:sz w:val="22"/>
          <w:szCs w:val="22"/>
        </w:rPr>
        <w:t xml:space="preserve"> households in rental stress over the same period, while every other LGA had an increase.</w:t>
      </w:r>
    </w:p>
    <w:p w14:paraId="1475F1FC" w14:textId="77777777" w:rsidR="00A95DCC" w:rsidRDefault="00A95DCC" w:rsidP="00A95DCC">
      <w:pPr>
        <w:pStyle w:val="ListParagraph"/>
        <w:numPr>
          <w:ilvl w:val="0"/>
          <w:numId w:val="34"/>
        </w:numPr>
        <w:spacing w:before="0" w:after="0"/>
        <w:rPr>
          <w:sz w:val="22"/>
          <w:szCs w:val="22"/>
        </w:rPr>
      </w:pPr>
      <w:r>
        <w:rPr>
          <w:sz w:val="22"/>
          <w:szCs w:val="22"/>
        </w:rPr>
        <w:t>The next table shows the change in the number of very low and low income households in rental stress at 2016 and at 2021.</w:t>
      </w:r>
    </w:p>
    <w:p w14:paraId="0BD10A52" w14:textId="77777777" w:rsidR="00A95DCC" w:rsidRPr="00693C67" w:rsidRDefault="00A95DCC" w:rsidP="00FC5B71">
      <w:pPr>
        <w:pStyle w:val="ListParagraph"/>
        <w:numPr>
          <w:ilvl w:val="0"/>
          <w:numId w:val="34"/>
        </w:numPr>
        <w:spacing w:before="0" w:after="0"/>
        <w:rPr>
          <w:sz w:val="22"/>
          <w:szCs w:val="22"/>
        </w:rPr>
      </w:pPr>
      <w:r w:rsidRPr="00693C67">
        <w:rPr>
          <w:sz w:val="22"/>
          <w:szCs w:val="22"/>
        </w:rPr>
        <w:lastRenderedPageBreak/>
        <w:t>Again Covid has had an impact on the rental market and on tenants</w:t>
      </w:r>
      <w:r w:rsidR="00693C67">
        <w:rPr>
          <w:sz w:val="22"/>
          <w:szCs w:val="22"/>
        </w:rPr>
        <w:t xml:space="preserve">.  </w:t>
      </w:r>
      <w:r w:rsidRPr="00693C67">
        <w:rPr>
          <w:sz w:val="22"/>
          <w:szCs w:val="22"/>
        </w:rPr>
        <w:t>A look at CRA (Commonwealth Rent Assistance) recipients in housing stress gives some further information on what has been happening with lower income households in rental stress over this time frame.</w:t>
      </w:r>
    </w:p>
    <w:p w14:paraId="6D85A0FC" w14:textId="77777777" w:rsidR="00347998" w:rsidRDefault="00347998" w:rsidP="00347998">
      <w:pPr>
        <w:spacing w:before="0" w:after="0"/>
        <w:rPr>
          <w:sz w:val="22"/>
          <w:szCs w:val="22"/>
        </w:rPr>
      </w:pPr>
    </w:p>
    <w:p w14:paraId="3A7DE267" w14:textId="77777777" w:rsidR="00A95DCC" w:rsidRDefault="00A95DCC" w:rsidP="00347998">
      <w:pPr>
        <w:spacing w:before="0" w:after="0"/>
        <w:rPr>
          <w:sz w:val="22"/>
          <w:szCs w:val="22"/>
        </w:rPr>
      </w:pPr>
      <w:r w:rsidRPr="00A95DCC">
        <w:rPr>
          <w:noProof/>
        </w:rPr>
        <w:drawing>
          <wp:inline distT="0" distB="0" distL="0" distR="0" wp14:anchorId="0D6934C8" wp14:editId="181AA6EA">
            <wp:extent cx="4638675" cy="5534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675" cy="5534025"/>
                    </a:xfrm>
                    <a:prstGeom prst="rect">
                      <a:avLst/>
                    </a:prstGeom>
                    <a:noFill/>
                    <a:ln>
                      <a:noFill/>
                    </a:ln>
                  </pic:spPr>
                </pic:pic>
              </a:graphicData>
            </a:graphic>
          </wp:inline>
        </w:drawing>
      </w:r>
    </w:p>
    <w:p w14:paraId="0A6350D4" w14:textId="77777777" w:rsidR="00A95DCC" w:rsidRDefault="00A95DCC" w:rsidP="00347998">
      <w:pPr>
        <w:spacing w:before="0" w:after="0"/>
        <w:rPr>
          <w:sz w:val="22"/>
          <w:szCs w:val="22"/>
        </w:rPr>
      </w:pPr>
    </w:p>
    <w:p w14:paraId="1F208C77" w14:textId="77777777" w:rsidR="009F3F1E" w:rsidRDefault="009F3F1E" w:rsidP="00347998">
      <w:pPr>
        <w:spacing w:before="0" w:after="0"/>
        <w:rPr>
          <w:sz w:val="22"/>
          <w:szCs w:val="22"/>
        </w:rPr>
      </w:pPr>
    </w:p>
    <w:p w14:paraId="3EB97497" w14:textId="77777777" w:rsidR="009F3F1E" w:rsidRPr="009F3F1E" w:rsidRDefault="009F3F1E" w:rsidP="009F3F1E">
      <w:pPr>
        <w:rPr>
          <w:b/>
          <w:color w:val="008000"/>
          <w:sz w:val="32"/>
        </w:rPr>
      </w:pPr>
      <w:r w:rsidRPr="009F3F1E">
        <w:rPr>
          <w:b/>
          <w:color w:val="008000"/>
          <w:sz w:val="32"/>
        </w:rPr>
        <w:t>Commonwealth Rent Assistance</w:t>
      </w:r>
    </w:p>
    <w:p w14:paraId="6BBAAA02" w14:textId="77777777" w:rsidR="000224A8" w:rsidRDefault="000224A8" w:rsidP="000224A8">
      <w:pPr>
        <w:pStyle w:val="ListParagraph"/>
        <w:numPr>
          <w:ilvl w:val="0"/>
          <w:numId w:val="35"/>
        </w:numPr>
        <w:spacing w:before="0" w:after="0"/>
        <w:rPr>
          <w:sz w:val="22"/>
          <w:szCs w:val="22"/>
        </w:rPr>
      </w:pPr>
      <w:r>
        <w:rPr>
          <w:sz w:val="22"/>
          <w:szCs w:val="22"/>
        </w:rPr>
        <w:t xml:space="preserve">In line with other parts of NSW, between 2016 and 2020, the total number of CRA recipients in the </w:t>
      </w:r>
      <w:r w:rsidR="00896E62">
        <w:rPr>
          <w:sz w:val="22"/>
          <w:szCs w:val="22"/>
        </w:rPr>
        <w:t xml:space="preserve">Riverina Murray </w:t>
      </w:r>
      <w:r>
        <w:rPr>
          <w:sz w:val="22"/>
          <w:szCs w:val="22"/>
        </w:rPr>
        <w:t>increased significantly, while the number in stress actually declined.  However, between 2020 and 2021 the number of CRA recipients declined while the number in stress increased.</w:t>
      </w:r>
    </w:p>
    <w:p w14:paraId="7318F0CE" w14:textId="77777777" w:rsidR="000224A8" w:rsidRPr="00C36285" w:rsidRDefault="000224A8" w:rsidP="000224A8">
      <w:pPr>
        <w:pStyle w:val="ListParagraph"/>
        <w:numPr>
          <w:ilvl w:val="0"/>
          <w:numId w:val="35"/>
        </w:numPr>
        <w:rPr>
          <w:sz w:val="22"/>
          <w:szCs w:val="22"/>
        </w:rPr>
      </w:pPr>
      <w:r w:rsidRPr="00C36285">
        <w:rPr>
          <w:sz w:val="22"/>
          <w:szCs w:val="22"/>
        </w:rPr>
        <w:lastRenderedPageBreak/>
        <w:t xml:space="preserve">The number of CRA recipients </w:t>
      </w:r>
      <w:r>
        <w:rPr>
          <w:sz w:val="22"/>
          <w:szCs w:val="22"/>
        </w:rPr>
        <w:t xml:space="preserve">in </w:t>
      </w:r>
      <w:r w:rsidRPr="00C36285">
        <w:rPr>
          <w:sz w:val="22"/>
          <w:szCs w:val="22"/>
        </w:rPr>
        <w:t xml:space="preserve">housing stress has increased from the June 2020 figures as the temporary Coronavirus Supplement ended on 31 March 2021. </w:t>
      </w:r>
    </w:p>
    <w:p w14:paraId="1EDB0633" w14:textId="77777777" w:rsidR="000224A8" w:rsidRDefault="000224A8" w:rsidP="000224A8">
      <w:pPr>
        <w:pStyle w:val="ListParagraph"/>
        <w:numPr>
          <w:ilvl w:val="0"/>
          <w:numId w:val="35"/>
        </w:numPr>
        <w:spacing w:before="0" w:after="0"/>
        <w:rPr>
          <w:sz w:val="22"/>
          <w:szCs w:val="22"/>
        </w:rPr>
      </w:pPr>
      <w:r>
        <w:rPr>
          <w:sz w:val="22"/>
          <w:szCs w:val="22"/>
        </w:rPr>
        <w:t xml:space="preserve">The </w:t>
      </w:r>
      <w:r w:rsidRPr="00C36285">
        <w:rPr>
          <w:sz w:val="22"/>
          <w:szCs w:val="22"/>
        </w:rPr>
        <w:t xml:space="preserve">Coronavirus Supplement was $550 per fortnight for new and existing recipients of </w:t>
      </w:r>
      <w:proofErr w:type="spellStart"/>
      <w:r w:rsidRPr="00C36285">
        <w:rPr>
          <w:sz w:val="22"/>
          <w:szCs w:val="22"/>
        </w:rPr>
        <w:t>JobSeeker</w:t>
      </w:r>
      <w:proofErr w:type="spellEnd"/>
      <w:r w:rsidRPr="00C36285">
        <w:rPr>
          <w:sz w:val="22"/>
          <w:szCs w:val="22"/>
        </w:rPr>
        <w:t xml:space="preserve"> Payment, Parenting Payment, Youth Allowance for jobseekers, Farm Household Allowance and Special Benefit. The temporary supplement almost doubled the maximum payment rate for a </w:t>
      </w:r>
      <w:proofErr w:type="spellStart"/>
      <w:r w:rsidRPr="00C36285">
        <w:rPr>
          <w:sz w:val="22"/>
          <w:szCs w:val="22"/>
        </w:rPr>
        <w:t>JobSeeker</w:t>
      </w:r>
      <w:proofErr w:type="spellEnd"/>
      <w:r w:rsidRPr="00C36285">
        <w:rPr>
          <w:sz w:val="22"/>
          <w:szCs w:val="22"/>
        </w:rPr>
        <w:t xml:space="preserve"> Payment recipient. Hence it made rent more affordable for some CRA recipients in June 2020 and resulted in a lower proportion of CRA recipients in rental stress than usual</w:t>
      </w:r>
      <w:r>
        <w:rPr>
          <w:sz w:val="22"/>
          <w:szCs w:val="22"/>
        </w:rPr>
        <w:t>.</w:t>
      </w:r>
    </w:p>
    <w:p w14:paraId="538993A4" w14:textId="77777777" w:rsidR="000224A8" w:rsidRDefault="000224A8" w:rsidP="000224A8">
      <w:pPr>
        <w:pStyle w:val="ListParagraph"/>
        <w:numPr>
          <w:ilvl w:val="0"/>
          <w:numId w:val="35"/>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5FF1CE7F" w14:textId="2049C711" w:rsidR="000224A8" w:rsidRDefault="000224A8" w:rsidP="000224A8">
      <w:pPr>
        <w:pStyle w:val="ListParagraph"/>
        <w:numPr>
          <w:ilvl w:val="0"/>
          <w:numId w:val="35"/>
        </w:numPr>
        <w:spacing w:before="0" w:after="0"/>
        <w:rPr>
          <w:sz w:val="22"/>
          <w:szCs w:val="22"/>
        </w:rPr>
      </w:pPr>
      <w:r>
        <w:rPr>
          <w:sz w:val="22"/>
          <w:szCs w:val="22"/>
        </w:rPr>
        <w:t xml:space="preserve">The two graphs below clearly demonstrate this experience in </w:t>
      </w:r>
      <w:r w:rsidR="007E1F21">
        <w:rPr>
          <w:sz w:val="22"/>
          <w:szCs w:val="22"/>
        </w:rPr>
        <w:t>the Riverina Murray</w:t>
      </w:r>
      <w:r>
        <w:rPr>
          <w:sz w:val="22"/>
          <w:szCs w:val="22"/>
        </w:rPr>
        <w:t>.</w:t>
      </w:r>
    </w:p>
    <w:p w14:paraId="5A8BC8C2" w14:textId="77777777" w:rsidR="00A95DCC" w:rsidRDefault="00A95DCC" w:rsidP="00347998">
      <w:pPr>
        <w:spacing w:before="0" w:after="0"/>
        <w:rPr>
          <w:sz w:val="22"/>
          <w:szCs w:val="22"/>
        </w:rPr>
      </w:pPr>
    </w:p>
    <w:p w14:paraId="3FA1A686" w14:textId="77777777" w:rsidR="009F3F1E" w:rsidRDefault="009F3F1E" w:rsidP="00347998">
      <w:pPr>
        <w:spacing w:before="0" w:after="0"/>
        <w:rPr>
          <w:sz w:val="22"/>
          <w:szCs w:val="22"/>
        </w:rPr>
      </w:pPr>
    </w:p>
    <w:p w14:paraId="377E39AC" w14:textId="77777777" w:rsidR="000224A8" w:rsidRDefault="000224A8" w:rsidP="00347998">
      <w:pPr>
        <w:spacing w:before="0" w:after="0"/>
        <w:rPr>
          <w:sz w:val="22"/>
          <w:szCs w:val="22"/>
        </w:rPr>
      </w:pPr>
      <w:r>
        <w:rPr>
          <w:noProof/>
          <w:sz w:val="22"/>
          <w:szCs w:val="22"/>
        </w:rPr>
        <w:drawing>
          <wp:inline distT="0" distB="0" distL="0" distR="0" wp14:anchorId="518212B5" wp14:editId="06149056">
            <wp:extent cx="5815965" cy="32308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5965" cy="3230880"/>
                    </a:xfrm>
                    <a:prstGeom prst="rect">
                      <a:avLst/>
                    </a:prstGeom>
                    <a:noFill/>
                  </pic:spPr>
                </pic:pic>
              </a:graphicData>
            </a:graphic>
          </wp:inline>
        </w:drawing>
      </w:r>
    </w:p>
    <w:p w14:paraId="007750E8" w14:textId="77777777" w:rsidR="009F3F1E" w:rsidRDefault="009F3F1E" w:rsidP="00347998">
      <w:pPr>
        <w:spacing w:before="0" w:after="0"/>
        <w:rPr>
          <w:sz w:val="22"/>
          <w:szCs w:val="22"/>
        </w:rPr>
      </w:pPr>
    </w:p>
    <w:p w14:paraId="7C678A73" w14:textId="77777777" w:rsidR="009F3F1E" w:rsidRDefault="009F3F1E" w:rsidP="00347998">
      <w:pPr>
        <w:spacing w:before="0" w:after="0"/>
        <w:rPr>
          <w:sz w:val="22"/>
          <w:szCs w:val="22"/>
        </w:rPr>
      </w:pPr>
      <w:r>
        <w:rPr>
          <w:noProof/>
          <w:sz w:val="22"/>
          <w:szCs w:val="22"/>
        </w:rPr>
        <w:lastRenderedPageBreak/>
        <w:drawing>
          <wp:inline distT="0" distB="0" distL="0" distR="0" wp14:anchorId="5DF1D9E7" wp14:editId="224168A2">
            <wp:extent cx="5826712" cy="342900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1031" cy="3431542"/>
                    </a:xfrm>
                    <a:prstGeom prst="rect">
                      <a:avLst/>
                    </a:prstGeom>
                    <a:noFill/>
                  </pic:spPr>
                </pic:pic>
              </a:graphicData>
            </a:graphic>
          </wp:inline>
        </w:drawing>
      </w:r>
    </w:p>
    <w:p w14:paraId="2B376A7F" w14:textId="77777777" w:rsidR="00347998" w:rsidRDefault="00347998" w:rsidP="00347998">
      <w:pPr>
        <w:spacing w:before="0" w:after="0"/>
        <w:rPr>
          <w:sz w:val="22"/>
          <w:szCs w:val="22"/>
        </w:rPr>
      </w:pPr>
    </w:p>
    <w:p w14:paraId="07FD4DCD" w14:textId="77777777" w:rsidR="009F3F1E" w:rsidRPr="007D3CF8" w:rsidRDefault="009F3F1E" w:rsidP="009F3F1E">
      <w:pPr>
        <w:numPr>
          <w:ilvl w:val="0"/>
          <w:numId w:val="33"/>
        </w:numPr>
        <w:spacing w:before="0" w:after="0"/>
        <w:rPr>
          <w:sz w:val="22"/>
          <w:szCs w:val="22"/>
        </w:rPr>
      </w:pPr>
      <w:r w:rsidRPr="007D3CF8">
        <w:rPr>
          <w:sz w:val="22"/>
          <w:szCs w:val="22"/>
        </w:rPr>
        <w:t xml:space="preserve">The table below shows the number and proportion of tenants in the </w:t>
      </w:r>
      <w:r w:rsidR="00896E62">
        <w:rPr>
          <w:sz w:val="22"/>
          <w:szCs w:val="22"/>
        </w:rPr>
        <w:t xml:space="preserve">Riverina Murray </w:t>
      </w:r>
      <w:r w:rsidRPr="007D3CF8">
        <w:rPr>
          <w:sz w:val="22"/>
          <w:szCs w:val="22"/>
        </w:rPr>
        <w:t xml:space="preserve">region who are in the private rental market, are in receipt of Commonwealth Rent Assistance, and even with this additional income support, are in housing stress.  </w:t>
      </w:r>
    </w:p>
    <w:p w14:paraId="1B9E65C6" w14:textId="77777777" w:rsidR="009F3F1E" w:rsidRDefault="009F3F1E" w:rsidP="009F3F1E">
      <w:pPr>
        <w:numPr>
          <w:ilvl w:val="0"/>
          <w:numId w:val="33"/>
        </w:numPr>
        <w:spacing w:before="0" w:after="0"/>
        <w:rPr>
          <w:sz w:val="22"/>
          <w:szCs w:val="22"/>
        </w:rPr>
      </w:pPr>
      <w:r w:rsidRPr="007D3CF8">
        <w:rPr>
          <w:sz w:val="22"/>
          <w:szCs w:val="22"/>
        </w:rPr>
        <w:t xml:space="preserve">There were a total of </w:t>
      </w:r>
      <w:r w:rsidR="00896E62">
        <w:rPr>
          <w:sz w:val="22"/>
          <w:szCs w:val="22"/>
        </w:rPr>
        <w:t xml:space="preserve">5,697 </w:t>
      </w:r>
      <w:r w:rsidRPr="007D3CF8">
        <w:rPr>
          <w:sz w:val="22"/>
          <w:szCs w:val="22"/>
        </w:rPr>
        <w:t xml:space="preserve">tenants in receipt of CRA and in housing stress across the region in 2021, up from </w:t>
      </w:r>
      <w:r w:rsidR="00896E62">
        <w:rPr>
          <w:sz w:val="22"/>
          <w:szCs w:val="22"/>
        </w:rPr>
        <w:t>4,8</w:t>
      </w:r>
      <w:r>
        <w:rPr>
          <w:sz w:val="22"/>
          <w:szCs w:val="22"/>
        </w:rPr>
        <w:t>37</w:t>
      </w:r>
      <w:r w:rsidRPr="007D3CF8">
        <w:rPr>
          <w:sz w:val="22"/>
          <w:szCs w:val="22"/>
        </w:rPr>
        <w:t xml:space="preserve"> in 2016. </w:t>
      </w:r>
      <w:r>
        <w:rPr>
          <w:sz w:val="22"/>
          <w:szCs w:val="22"/>
        </w:rPr>
        <w:t xml:space="preserve"> In 2016, 2</w:t>
      </w:r>
      <w:r w:rsidR="00896E62">
        <w:rPr>
          <w:sz w:val="22"/>
          <w:szCs w:val="22"/>
        </w:rPr>
        <w:t>6.4</w:t>
      </w:r>
      <w:r>
        <w:rPr>
          <w:sz w:val="22"/>
          <w:szCs w:val="22"/>
        </w:rPr>
        <w:t xml:space="preserve">% of CRA recipients in </w:t>
      </w:r>
      <w:r w:rsidR="00185C55">
        <w:rPr>
          <w:sz w:val="22"/>
          <w:szCs w:val="22"/>
        </w:rPr>
        <w:t xml:space="preserve">the Riverina Murray </w:t>
      </w:r>
      <w:r>
        <w:rPr>
          <w:sz w:val="22"/>
          <w:szCs w:val="22"/>
        </w:rPr>
        <w:t>were in stress, increasing to 3</w:t>
      </w:r>
      <w:r w:rsidR="00185C55">
        <w:rPr>
          <w:sz w:val="22"/>
          <w:szCs w:val="22"/>
        </w:rPr>
        <w:t>0.7</w:t>
      </w:r>
      <w:r>
        <w:rPr>
          <w:sz w:val="22"/>
          <w:szCs w:val="22"/>
        </w:rPr>
        <w:t xml:space="preserve">% in 2021.  </w:t>
      </w:r>
    </w:p>
    <w:p w14:paraId="26B32E87" w14:textId="77777777" w:rsidR="009F3F1E" w:rsidRDefault="009F3F1E" w:rsidP="009F3F1E">
      <w:pPr>
        <w:numPr>
          <w:ilvl w:val="0"/>
          <w:numId w:val="33"/>
        </w:numPr>
        <w:spacing w:before="0" w:after="0"/>
        <w:rPr>
          <w:sz w:val="22"/>
          <w:szCs w:val="22"/>
        </w:rPr>
      </w:pPr>
      <w:r w:rsidRPr="007D3CF8">
        <w:rPr>
          <w:sz w:val="22"/>
          <w:szCs w:val="22"/>
        </w:rPr>
        <w:t>Th</w:t>
      </w:r>
      <w:r>
        <w:rPr>
          <w:sz w:val="22"/>
          <w:szCs w:val="22"/>
        </w:rPr>
        <w:t>is indicates that this region is becoming less affordable for lower income tenants</w:t>
      </w:r>
      <w:r w:rsidRPr="007D3CF8">
        <w:rPr>
          <w:sz w:val="22"/>
          <w:szCs w:val="22"/>
        </w:rPr>
        <w:t>.</w:t>
      </w:r>
    </w:p>
    <w:p w14:paraId="430CC377" w14:textId="3CC13518" w:rsidR="009F3F1E" w:rsidRDefault="00C519DD" w:rsidP="009F3F1E">
      <w:pPr>
        <w:numPr>
          <w:ilvl w:val="0"/>
          <w:numId w:val="33"/>
        </w:numPr>
        <w:spacing w:before="0" w:after="0"/>
        <w:rPr>
          <w:sz w:val="22"/>
          <w:szCs w:val="22"/>
        </w:rPr>
      </w:pPr>
      <w:r>
        <w:rPr>
          <w:sz w:val="22"/>
          <w:szCs w:val="22"/>
        </w:rPr>
        <w:t xml:space="preserve">The </w:t>
      </w:r>
      <w:r w:rsidR="00185C55">
        <w:rPr>
          <w:sz w:val="22"/>
          <w:szCs w:val="22"/>
        </w:rPr>
        <w:t xml:space="preserve">Riverina Murray </w:t>
      </w:r>
      <w:r>
        <w:rPr>
          <w:sz w:val="22"/>
          <w:szCs w:val="22"/>
        </w:rPr>
        <w:t xml:space="preserve">region </w:t>
      </w:r>
      <w:r w:rsidR="009F3F1E" w:rsidRPr="001364C6">
        <w:rPr>
          <w:sz w:val="22"/>
          <w:szCs w:val="22"/>
        </w:rPr>
        <w:t>(3</w:t>
      </w:r>
      <w:r w:rsidR="00185C55">
        <w:rPr>
          <w:sz w:val="22"/>
          <w:szCs w:val="22"/>
        </w:rPr>
        <w:t>0.7</w:t>
      </w:r>
      <w:r w:rsidR="009F3F1E" w:rsidRPr="001364C6">
        <w:rPr>
          <w:sz w:val="22"/>
          <w:szCs w:val="22"/>
        </w:rPr>
        <w:t xml:space="preserve">%) has a lower proportion of CRA recipients in housing stress than the Rest of NSW average (39.2%). </w:t>
      </w:r>
      <w:r w:rsidR="009F3F1E">
        <w:rPr>
          <w:sz w:val="22"/>
          <w:szCs w:val="22"/>
        </w:rPr>
        <w:t xml:space="preserve"> </w:t>
      </w:r>
      <w:r w:rsidR="00185C55">
        <w:rPr>
          <w:sz w:val="22"/>
          <w:szCs w:val="22"/>
        </w:rPr>
        <w:t xml:space="preserve">No LGA in the region </w:t>
      </w:r>
      <w:r w:rsidR="009F3F1E" w:rsidRPr="001364C6">
        <w:rPr>
          <w:sz w:val="22"/>
          <w:szCs w:val="22"/>
        </w:rPr>
        <w:t>ha</w:t>
      </w:r>
      <w:r w:rsidR="00185C55">
        <w:rPr>
          <w:sz w:val="22"/>
          <w:szCs w:val="22"/>
        </w:rPr>
        <w:t>s</w:t>
      </w:r>
      <w:r w:rsidR="009F3F1E" w:rsidRPr="001364C6">
        <w:rPr>
          <w:sz w:val="22"/>
          <w:szCs w:val="22"/>
        </w:rPr>
        <w:t xml:space="preserve"> a higher proportion of CRA recipients in housing stress than the Rest of NSW average.  </w:t>
      </w:r>
      <w:r w:rsidR="00185C55">
        <w:rPr>
          <w:sz w:val="22"/>
          <w:szCs w:val="22"/>
        </w:rPr>
        <w:t>Wagga Wagga has the highest proportion of CRA recipients in housing stress in the region with 38.8%, followed by Albury with 34.5% and Griffith with 31.5%.</w:t>
      </w:r>
    </w:p>
    <w:p w14:paraId="5BB37E93" w14:textId="77777777" w:rsidR="009F3F1E" w:rsidRDefault="009F3F1E" w:rsidP="00347998">
      <w:pPr>
        <w:spacing w:before="0" w:after="0"/>
        <w:rPr>
          <w:sz w:val="22"/>
          <w:szCs w:val="22"/>
        </w:rPr>
      </w:pPr>
    </w:p>
    <w:p w14:paraId="100BBF26" w14:textId="77777777" w:rsidR="009F3F1E" w:rsidRDefault="009F3F1E" w:rsidP="00347998">
      <w:pPr>
        <w:spacing w:before="0" w:after="0"/>
        <w:rPr>
          <w:sz w:val="22"/>
          <w:szCs w:val="22"/>
        </w:rPr>
      </w:pPr>
      <w:r w:rsidRPr="009F3F1E">
        <w:rPr>
          <w:noProof/>
        </w:rPr>
        <w:lastRenderedPageBreak/>
        <w:drawing>
          <wp:inline distT="0" distB="0" distL="0" distR="0" wp14:anchorId="4257D00A" wp14:editId="3DD4EA85">
            <wp:extent cx="4029075" cy="53435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9075" cy="5343525"/>
                    </a:xfrm>
                    <a:prstGeom prst="rect">
                      <a:avLst/>
                    </a:prstGeom>
                    <a:noFill/>
                    <a:ln>
                      <a:noFill/>
                    </a:ln>
                  </pic:spPr>
                </pic:pic>
              </a:graphicData>
            </a:graphic>
          </wp:inline>
        </w:drawing>
      </w:r>
    </w:p>
    <w:p w14:paraId="2DB0BDF1" w14:textId="77777777" w:rsidR="009F3F1E" w:rsidRDefault="009F3F1E" w:rsidP="00347998">
      <w:pPr>
        <w:spacing w:before="0" w:after="0"/>
        <w:rPr>
          <w:sz w:val="22"/>
          <w:szCs w:val="22"/>
        </w:rPr>
      </w:pPr>
    </w:p>
    <w:p w14:paraId="1D41E07F" w14:textId="77777777" w:rsidR="00347998" w:rsidRDefault="00347998" w:rsidP="00347998">
      <w:pPr>
        <w:spacing w:before="0" w:after="0"/>
        <w:rPr>
          <w:sz w:val="22"/>
          <w:szCs w:val="22"/>
        </w:rPr>
      </w:pPr>
    </w:p>
    <w:p w14:paraId="034E291B" w14:textId="77777777" w:rsidR="009D2867" w:rsidRPr="00233CA3" w:rsidRDefault="009D2867" w:rsidP="009D2867">
      <w:pPr>
        <w:rPr>
          <w:b/>
          <w:color w:val="008000"/>
          <w:sz w:val="32"/>
        </w:rPr>
      </w:pPr>
      <w:r w:rsidRPr="00233CA3">
        <w:rPr>
          <w:b/>
          <w:color w:val="008000"/>
          <w:sz w:val="32"/>
        </w:rPr>
        <w:t>Loss of Affordable Housing Stock</w:t>
      </w:r>
    </w:p>
    <w:p w14:paraId="688B906D" w14:textId="77777777" w:rsidR="00711D82" w:rsidRPr="00EC3534" w:rsidRDefault="00711D82" w:rsidP="00711D82">
      <w:pPr>
        <w:numPr>
          <w:ilvl w:val="0"/>
          <w:numId w:val="21"/>
        </w:numPr>
        <w:spacing w:before="0" w:after="0"/>
        <w:jc w:val="both"/>
        <w:rPr>
          <w:sz w:val="22"/>
          <w:szCs w:val="22"/>
        </w:rPr>
      </w:pPr>
      <w:r w:rsidRPr="00DD561F">
        <w:rPr>
          <w:sz w:val="22"/>
          <w:szCs w:val="22"/>
        </w:rPr>
        <w:t>DCJ has</w:t>
      </w:r>
      <w:r w:rsidRPr="00EC3534">
        <w:rPr>
          <w:sz w:val="22"/>
          <w:szCs w:val="22"/>
        </w:rPr>
        <w:t xml:space="preserve"> calculated the number of new bonds lodged with the Rental Bond Board that were affordable to low income earners in </w:t>
      </w:r>
      <w:r w:rsidR="00301F8E">
        <w:rPr>
          <w:sz w:val="22"/>
          <w:szCs w:val="22"/>
        </w:rPr>
        <w:t xml:space="preserve">the Riverina Murray </w:t>
      </w:r>
      <w:r w:rsidRPr="00EC3534">
        <w:rPr>
          <w:sz w:val="22"/>
          <w:szCs w:val="22"/>
        </w:rPr>
        <w:t>2017</w:t>
      </w:r>
      <w:r w:rsidR="006F1F33">
        <w:rPr>
          <w:sz w:val="22"/>
          <w:szCs w:val="22"/>
        </w:rPr>
        <w:t>, 2021</w:t>
      </w:r>
      <w:r w:rsidR="00301F8E">
        <w:rPr>
          <w:sz w:val="22"/>
          <w:szCs w:val="22"/>
        </w:rPr>
        <w:t xml:space="preserve"> and</w:t>
      </w:r>
      <w:r w:rsidR="006F1F33">
        <w:rPr>
          <w:sz w:val="22"/>
          <w:szCs w:val="22"/>
        </w:rPr>
        <w:t xml:space="preserve"> 2022</w:t>
      </w:r>
      <w:r w:rsidRPr="00EC3534">
        <w:rPr>
          <w:sz w:val="22"/>
          <w:szCs w:val="22"/>
        </w:rPr>
        <w:t xml:space="preserve">.  </w:t>
      </w:r>
      <w:r>
        <w:rPr>
          <w:sz w:val="22"/>
          <w:szCs w:val="22"/>
        </w:rPr>
        <w:t xml:space="preserve">The region </w:t>
      </w:r>
      <w:r w:rsidRPr="00EC3534">
        <w:rPr>
          <w:sz w:val="22"/>
          <w:szCs w:val="22"/>
        </w:rPr>
        <w:t>experienced a significant decline in affordable bonds lodged, and consequently loss of affordable housing between 20</w:t>
      </w:r>
      <w:r w:rsidR="006F1F33">
        <w:rPr>
          <w:sz w:val="22"/>
          <w:szCs w:val="22"/>
        </w:rPr>
        <w:t>17</w:t>
      </w:r>
      <w:r w:rsidRPr="00EC3534">
        <w:rPr>
          <w:sz w:val="22"/>
          <w:szCs w:val="22"/>
        </w:rPr>
        <w:t xml:space="preserve"> and 20</w:t>
      </w:r>
      <w:r>
        <w:rPr>
          <w:sz w:val="22"/>
          <w:szCs w:val="22"/>
        </w:rPr>
        <w:t>2</w:t>
      </w:r>
      <w:r w:rsidR="006F1F33">
        <w:rPr>
          <w:sz w:val="22"/>
          <w:szCs w:val="22"/>
        </w:rPr>
        <w:t>2</w:t>
      </w:r>
      <w:r w:rsidRPr="00EC3534">
        <w:rPr>
          <w:sz w:val="22"/>
          <w:szCs w:val="22"/>
        </w:rPr>
        <w:t xml:space="preserve"> – with </w:t>
      </w:r>
      <w:r w:rsidR="006F1F33">
        <w:rPr>
          <w:sz w:val="22"/>
          <w:szCs w:val="22"/>
        </w:rPr>
        <w:t>-600 or -29,1% fewer affordable bonds lodged</w:t>
      </w:r>
      <w:r w:rsidRPr="00EC3534">
        <w:rPr>
          <w:sz w:val="22"/>
          <w:szCs w:val="22"/>
        </w:rPr>
        <w:t xml:space="preserve">.   </w:t>
      </w:r>
    </w:p>
    <w:p w14:paraId="4D309877" w14:textId="15B3B9DC" w:rsidR="00711D82" w:rsidRPr="005A20CD" w:rsidRDefault="00711D82" w:rsidP="00711D82">
      <w:pPr>
        <w:numPr>
          <w:ilvl w:val="0"/>
          <w:numId w:val="21"/>
        </w:numPr>
        <w:spacing w:before="0" w:after="0"/>
        <w:jc w:val="both"/>
        <w:rPr>
          <w:b/>
          <w:sz w:val="20"/>
          <w:szCs w:val="20"/>
        </w:rPr>
      </w:pPr>
      <w:r w:rsidRPr="003B6984">
        <w:rPr>
          <w:sz w:val="22"/>
          <w:szCs w:val="22"/>
        </w:rPr>
        <w:t xml:space="preserve">The table below shows the number of </w:t>
      </w:r>
      <w:r>
        <w:rPr>
          <w:sz w:val="22"/>
          <w:szCs w:val="22"/>
        </w:rPr>
        <w:t xml:space="preserve">new </w:t>
      </w:r>
      <w:r w:rsidRPr="003B6984">
        <w:rPr>
          <w:sz w:val="22"/>
          <w:szCs w:val="22"/>
        </w:rPr>
        <w:t>bonds lodged that were affordable to low income households (including very low income households) in 2017</w:t>
      </w:r>
      <w:r w:rsidR="001B0005">
        <w:rPr>
          <w:sz w:val="22"/>
          <w:szCs w:val="22"/>
        </w:rPr>
        <w:t>,</w:t>
      </w:r>
      <w:r w:rsidR="00526FCA">
        <w:rPr>
          <w:sz w:val="22"/>
          <w:szCs w:val="22"/>
        </w:rPr>
        <w:t xml:space="preserve"> </w:t>
      </w:r>
      <w:r>
        <w:rPr>
          <w:sz w:val="22"/>
          <w:szCs w:val="22"/>
        </w:rPr>
        <w:t>2021</w:t>
      </w:r>
      <w:r w:rsidR="001B0005">
        <w:rPr>
          <w:sz w:val="22"/>
          <w:szCs w:val="22"/>
        </w:rPr>
        <w:t xml:space="preserve"> and 2022</w:t>
      </w:r>
      <w:r>
        <w:rPr>
          <w:sz w:val="22"/>
          <w:szCs w:val="22"/>
        </w:rPr>
        <w:t xml:space="preserve"> </w:t>
      </w:r>
      <w:r w:rsidRPr="003B6984">
        <w:rPr>
          <w:sz w:val="22"/>
          <w:szCs w:val="22"/>
        </w:rPr>
        <w:t>in</w:t>
      </w:r>
      <w:r>
        <w:rPr>
          <w:sz w:val="22"/>
          <w:szCs w:val="22"/>
        </w:rPr>
        <w:t xml:space="preserve"> each of the </w:t>
      </w:r>
      <w:r w:rsidR="00526FCA">
        <w:rPr>
          <w:sz w:val="22"/>
          <w:szCs w:val="22"/>
        </w:rPr>
        <w:t xml:space="preserve">Riverina Murray </w:t>
      </w:r>
      <w:r>
        <w:rPr>
          <w:sz w:val="22"/>
          <w:szCs w:val="22"/>
        </w:rPr>
        <w:t>LGAs as well as the total for the Region</w:t>
      </w:r>
      <w:r w:rsidRPr="003B6984">
        <w:rPr>
          <w:sz w:val="22"/>
          <w:szCs w:val="22"/>
        </w:rPr>
        <w:t>.</w:t>
      </w:r>
    </w:p>
    <w:p w14:paraId="5C55E92B" w14:textId="77777777" w:rsidR="00526FCA" w:rsidRPr="00526FCA" w:rsidRDefault="00711D82" w:rsidP="00037E78">
      <w:pPr>
        <w:numPr>
          <w:ilvl w:val="0"/>
          <w:numId w:val="21"/>
        </w:numPr>
        <w:spacing w:before="0" w:after="0"/>
        <w:jc w:val="both"/>
        <w:rPr>
          <w:sz w:val="20"/>
          <w:szCs w:val="20"/>
        </w:rPr>
      </w:pPr>
      <w:r w:rsidRPr="00526FCA">
        <w:rPr>
          <w:sz w:val="22"/>
          <w:szCs w:val="22"/>
        </w:rPr>
        <w:t xml:space="preserve">It is clear from the table that </w:t>
      </w:r>
      <w:r w:rsidR="00526FCA" w:rsidRPr="00526FCA">
        <w:rPr>
          <w:sz w:val="22"/>
          <w:szCs w:val="22"/>
        </w:rPr>
        <w:t xml:space="preserve">Albury </w:t>
      </w:r>
      <w:r w:rsidRPr="00526FCA">
        <w:rPr>
          <w:sz w:val="22"/>
          <w:szCs w:val="22"/>
        </w:rPr>
        <w:t>(-</w:t>
      </w:r>
      <w:r w:rsidR="00526FCA" w:rsidRPr="00526FCA">
        <w:rPr>
          <w:sz w:val="22"/>
          <w:szCs w:val="22"/>
        </w:rPr>
        <w:t>699</w:t>
      </w:r>
      <w:r w:rsidRPr="00526FCA">
        <w:rPr>
          <w:sz w:val="22"/>
          <w:szCs w:val="22"/>
        </w:rPr>
        <w:t xml:space="preserve">), </w:t>
      </w:r>
      <w:r w:rsidR="00526FCA" w:rsidRPr="00526FCA">
        <w:rPr>
          <w:sz w:val="22"/>
          <w:szCs w:val="22"/>
        </w:rPr>
        <w:t>Wagga Wagga (-381), Griffith (-355)</w:t>
      </w:r>
      <w:r w:rsidRPr="00526FCA">
        <w:rPr>
          <w:sz w:val="22"/>
          <w:szCs w:val="22"/>
        </w:rPr>
        <w:t xml:space="preserve"> had the largest numeric losses.</w:t>
      </w:r>
      <w:r w:rsidR="00526FCA">
        <w:rPr>
          <w:sz w:val="22"/>
          <w:szCs w:val="22"/>
        </w:rPr>
        <w:t xml:space="preserve">  Snowy Valleys (-242), Edward River (-222) and Leeton (-195) also lost a significant number of affordable dwellings.  </w:t>
      </w:r>
    </w:p>
    <w:p w14:paraId="66DEEB96" w14:textId="77777777" w:rsidR="00526FCA" w:rsidRPr="00526FCA" w:rsidRDefault="001A27E9" w:rsidP="00037E78">
      <w:pPr>
        <w:numPr>
          <w:ilvl w:val="0"/>
          <w:numId w:val="21"/>
        </w:numPr>
        <w:spacing w:before="0" w:after="0"/>
        <w:jc w:val="both"/>
        <w:rPr>
          <w:sz w:val="20"/>
          <w:szCs w:val="20"/>
        </w:rPr>
      </w:pPr>
      <w:r>
        <w:rPr>
          <w:sz w:val="22"/>
          <w:szCs w:val="22"/>
        </w:rPr>
        <w:lastRenderedPageBreak/>
        <w:t xml:space="preserve">Proportionately, </w:t>
      </w:r>
      <w:proofErr w:type="spellStart"/>
      <w:r>
        <w:rPr>
          <w:sz w:val="22"/>
          <w:szCs w:val="22"/>
        </w:rPr>
        <w:t>Carathool</w:t>
      </w:r>
      <w:proofErr w:type="spellEnd"/>
      <w:r>
        <w:rPr>
          <w:sz w:val="22"/>
          <w:szCs w:val="22"/>
        </w:rPr>
        <w:t xml:space="preserve"> experienced the largest decline – losing 100% of affordable rental, followed by Bland (84.4%), Hay (75.0%), Edward River (74.0%), Temora (73.2%), Narrandera (73.1%), Griffith (71.6%) and Snowy Valleys (70.8%).</w:t>
      </w:r>
    </w:p>
    <w:p w14:paraId="1100D8F3" w14:textId="77777777" w:rsidR="00711D82" w:rsidRDefault="00711D82" w:rsidP="00711D82">
      <w:pPr>
        <w:spacing w:before="0" w:after="0"/>
        <w:jc w:val="both"/>
        <w:rPr>
          <w:sz w:val="20"/>
          <w:szCs w:val="20"/>
        </w:rPr>
      </w:pPr>
    </w:p>
    <w:p w14:paraId="688F94A1" w14:textId="77777777" w:rsidR="00711D82" w:rsidRDefault="00711D82" w:rsidP="00711D82">
      <w:pPr>
        <w:spacing w:before="0" w:after="0"/>
        <w:jc w:val="both"/>
        <w:rPr>
          <w:sz w:val="20"/>
          <w:szCs w:val="20"/>
        </w:rPr>
      </w:pPr>
    </w:p>
    <w:p w14:paraId="6745C0B9" w14:textId="77777777" w:rsidR="00711D82" w:rsidRDefault="00711D82" w:rsidP="00711D82">
      <w:pPr>
        <w:spacing w:before="0" w:after="0"/>
        <w:jc w:val="both"/>
        <w:rPr>
          <w:sz w:val="22"/>
          <w:szCs w:val="22"/>
        </w:rPr>
      </w:pPr>
      <w:r>
        <w:rPr>
          <w:sz w:val="22"/>
          <w:szCs w:val="22"/>
        </w:rPr>
        <w:t>Number of affordable rental properties (new bonds lodged) affordable to low income households</w:t>
      </w:r>
    </w:p>
    <w:p w14:paraId="79FF6A0C" w14:textId="2E9DF977" w:rsidR="00711D82" w:rsidRPr="00711D82" w:rsidRDefault="00D55126" w:rsidP="00711D82">
      <w:pPr>
        <w:spacing w:before="0" w:after="0"/>
        <w:rPr>
          <w:rFonts w:cs="Arial"/>
          <w:sz w:val="22"/>
          <w:szCs w:val="22"/>
        </w:rPr>
      </w:pPr>
      <w:r w:rsidRPr="00D55126">
        <w:rPr>
          <w:noProof/>
        </w:rPr>
        <w:drawing>
          <wp:inline distT="0" distB="0" distL="0" distR="0" wp14:anchorId="0930BE8D" wp14:editId="0C3028E8">
            <wp:extent cx="4010025" cy="4581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10025" cy="4581525"/>
                    </a:xfrm>
                    <a:prstGeom prst="rect">
                      <a:avLst/>
                    </a:prstGeom>
                    <a:noFill/>
                    <a:ln>
                      <a:noFill/>
                    </a:ln>
                  </pic:spPr>
                </pic:pic>
              </a:graphicData>
            </a:graphic>
          </wp:inline>
        </w:drawing>
      </w:r>
    </w:p>
    <w:p w14:paraId="56943D54" w14:textId="77777777" w:rsidR="00711D82" w:rsidRPr="00711D82" w:rsidRDefault="00711D82" w:rsidP="00711D82">
      <w:pPr>
        <w:spacing w:before="0" w:after="0"/>
        <w:rPr>
          <w:rFonts w:cs="Arial"/>
          <w:sz w:val="22"/>
          <w:szCs w:val="22"/>
        </w:rPr>
      </w:pPr>
    </w:p>
    <w:p w14:paraId="100199CF" w14:textId="77777777" w:rsidR="00711D82" w:rsidRPr="00711D82" w:rsidRDefault="00711D82" w:rsidP="00711D82">
      <w:pPr>
        <w:spacing w:before="0" w:after="0"/>
        <w:rPr>
          <w:rFonts w:cs="Arial"/>
          <w:sz w:val="22"/>
          <w:szCs w:val="22"/>
        </w:rPr>
      </w:pPr>
    </w:p>
    <w:p w14:paraId="1B587310" w14:textId="77777777" w:rsidR="00711D82" w:rsidRPr="00711D82" w:rsidRDefault="00711D82" w:rsidP="00711D82">
      <w:pPr>
        <w:spacing w:before="0" w:after="0"/>
        <w:rPr>
          <w:rFonts w:cs="Arial"/>
          <w:sz w:val="22"/>
          <w:szCs w:val="22"/>
        </w:rPr>
      </w:pPr>
    </w:p>
    <w:p w14:paraId="2B42E469" w14:textId="77777777" w:rsidR="009D2867" w:rsidRPr="00953C71" w:rsidRDefault="009D2867" w:rsidP="009D2867">
      <w:pPr>
        <w:rPr>
          <w:b/>
          <w:bCs/>
          <w:i/>
          <w:iCs/>
          <w:color w:val="008000"/>
          <w:sz w:val="32"/>
        </w:rPr>
      </w:pPr>
      <w:r w:rsidRPr="00953C71">
        <w:rPr>
          <w:b/>
          <w:bCs/>
          <w:i/>
          <w:iCs/>
          <w:color w:val="008000"/>
          <w:sz w:val="32"/>
        </w:rPr>
        <w:t>Housing Market - Purchase</w:t>
      </w:r>
    </w:p>
    <w:p w14:paraId="40416171" w14:textId="77777777" w:rsidR="009D2867" w:rsidRPr="00953C71" w:rsidRDefault="009D2867" w:rsidP="009D2867">
      <w:pPr>
        <w:rPr>
          <w:sz w:val="20"/>
          <w:szCs w:val="20"/>
        </w:rPr>
      </w:pPr>
    </w:p>
    <w:p w14:paraId="274408F7" w14:textId="77777777" w:rsidR="009D2867" w:rsidRDefault="009D2867" w:rsidP="009D2867">
      <w:pPr>
        <w:rPr>
          <w:b/>
          <w:color w:val="008000"/>
          <w:sz w:val="32"/>
        </w:rPr>
      </w:pPr>
      <w:r w:rsidRPr="00953C71">
        <w:rPr>
          <w:b/>
          <w:color w:val="008000"/>
          <w:sz w:val="32"/>
        </w:rPr>
        <w:t>Sales Price</w:t>
      </w:r>
    </w:p>
    <w:p w14:paraId="7818A832" w14:textId="77777777" w:rsidR="009D2867" w:rsidRPr="00950BF5" w:rsidRDefault="009D2867" w:rsidP="009D2867">
      <w:pPr>
        <w:numPr>
          <w:ilvl w:val="0"/>
          <w:numId w:val="21"/>
        </w:numPr>
        <w:spacing w:before="0" w:after="0"/>
        <w:rPr>
          <w:sz w:val="22"/>
          <w:szCs w:val="22"/>
        </w:rPr>
      </w:pPr>
      <w:r w:rsidRPr="00950BF5">
        <w:rPr>
          <w:sz w:val="22"/>
          <w:szCs w:val="22"/>
        </w:rPr>
        <w:t xml:space="preserve">The following graph for the median sales price trend for all dwellings by LGA shows that there has been some variation in the median sales price trends over the period from </w:t>
      </w:r>
      <w:r w:rsidR="00950BF5">
        <w:rPr>
          <w:sz w:val="22"/>
          <w:szCs w:val="22"/>
        </w:rPr>
        <w:t>1991 to 2022 with strong recent increases (since 2020)</w:t>
      </w:r>
      <w:r w:rsidRPr="00950BF5">
        <w:rPr>
          <w:sz w:val="22"/>
          <w:szCs w:val="22"/>
        </w:rPr>
        <w:t xml:space="preserve">. </w:t>
      </w:r>
    </w:p>
    <w:p w14:paraId="64F97668" w14:textId="77777777" w:rsidR="009D2867" w:rsidRPr="00950BF5" w:rsidRDefault="009D2867" w:rsidP="009D2867">
      <w:pPr>
        <w:numPr>
          <w:ilvl w:val="0"/>
          <w:numId w:val="21"/>
        </w:numPr>
        <w:spacing w:before="0" w:after="0"/>
        <w:rPr>
          <w:sz w:val="22"/>
          <w:szCs w:val="22"/>
        </w:rPr>
      </w:pPr>
      <w:r w:rsidRPr="00950BF5">
        <w:rPr>
          <w:sz w:val="22"/>
          <w:szCs w:val="22"/>
        </w:rPr>
        <w:t>Wagga Wagga</w:t>
      </w:r>
      <w:r w:rsidR="00693892">
        <w:rPr>
          <w:sz w:val="22"/>
          <w:szCs w:val="22"/>
        </w:rPr>
        <w:t>, Albury, Griffith and Murray River</w:t>
      </w:r>
      <w:r w:rsidRPr="00950BF5">
        <w:rPr>
          <w:sz w:val="22"/>
          <w:szCs w:val="22"/>
        </w:rPr>
        <w:t xml:space="preserve"> ha</w:t>
      </w:r>
      <w:r w:rsidR="00693892">
        <w:rPr>
          <w:sz w:val="22"/>
          <w:szCs w:val="22"/>
        </w:rPr>
        <w:t>ve</w:t>
      </w:r>
      <w:r w:rsidRPr="00950BF5">
        <w:rPr>
          <w:sz w:val="22"/>
          <w:szCs w:val="22"/>
        </w:rPr>
        <w:t xml:space="preserve"> consistently had the highest me</w:t>
      </w:r>
      <w:r w:rsidR="00693892">
        <w:rPr>
          <w:sz w:val="22"/>
          <w:szCs w:val="22"/>
        </w:rPr>
        <w:t>dian sales prices in the region</w:t>
      </w:r>
      <w:r w:rsidRPr="00950BF5">
        <w:rPr>
          <w:sz w:val="22"/>
          <w:szCs w:val="22"/>
        </w:rPr>
        <w:t>.</w:t>
      </w:r>
      <w:r w:rsidR="00693892">
        <w:rPr>
          <w:sz w:val="22"/>
          <w:szCs w:val="22"/>
        </w:rPr>
        <w:t xml:space="preserve">  At </w:t>
      </w:r>
      <w:r w:rsidR="003D2444">
        <w:rPr>
          <w:sz w:val="22"/>
          <w:szCs w:val="22"/>
        </w:rPr>
        <w:t xml:space="preserve">December 2022, the median sales </w:t>
      </w:r>
      <w:r w:rsidR="003D2444">
        <w:rPr>
          <w:sz w:val="22"/>
          <w:szCs w:val="22"/>
        </w:rPr>
        <w:lastRenderedPageBreak/>
        <w:t>price in Albury was $519,000, in Griffith was $570,000, in Murray River was $453,000 and in Wagga Wagga was $559,000.</w:t>
      </w:r>
    </w:p>
    <w:p w14:paraId="51405184" w14:textId="77777777" w:rsidR="009D2867" w:rsidRPr="00953C71" w:rsidRDefault="009D2867" w:rsidP="009D2867">
      <w:pPr>
        <w:rPr>
          <w:sz w:val="20"/>
          <w:szCs w:val="20"/>
        </w:rPr>
      </w:pPr>
    </w:p>
    <w:p w14:paraId="2B8417B6" w14:textId="02397B0B" w:rsidR="009D2867" w:rsidRDefault="00053961" w:rsidP="009D2867">
      <w:pPr>
        <w:rPr>
          <w:sz w:val="20"/>
          <w:szCs w:val="20"/>
        </w:rPr>
      </w:pPr>
      <w:r>
        <w:rPr>
          <w:noProof/>
          <w:sz w:val="20"/>
          <w:szCs w:val="20"/>
        </w:rPr>
        <w:drawing>
          <wp:inline distT="0" distB="0" distL="0" distR="0" wp14:anchorId="6D40C627" wp14:editId="34B2D2D7">
            <wp:extent cx="6030595" cy="3213935"/>
            <wp:effectExtent l="0" t="0" r="825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2006" cy="3220016"/>
                    </a:xfrm>
                    <a:prstGeom prst="rect">
                      <a:avLst/>
                    </a:prstGeom>
                    <a:noFill/>
                  </pic:spPr>
                </pic:pic>
              </a:graphicData>
            </a:graphic>
          </wp:inline>
        </w:drawing>
      </w:r>
    </w:p>
    <w:p w14:paraId="058E6408" w14:textId="77777777" w:rsidR="001D6572" w:rsidRPr="008D05C5" w:rsidRDefault="001D6572" w:rsidP="009D2867">
      <w:pPr>
        <w:rPr>
          <w:sz w:val="20"/>
          <w:szCs w:val="20"/>
        </w:rPr>
      </w:pPr>
    </w:p>
    <w:p w14:paraId="42A04240" w14:textId="1D943AD1" w:rsidR="009D2867" w:rsidRDefault="003D2444" w:rsidP="003D2444">
      <w:pPr>
        <w:pStyle w:val="ListParagraph"/>
        <w:numPr>
          <w:ilvl w:val="0"/>
          <w:numId w:val="37"/>
        </w:numPr>
        <w:rPr>
          <w:rFonts w:cs="Arial"/>
          <w:sz w:val="22"/>
          <w:szCs w:val="22"/>
        </w:rPr>
      </w:pPr>
      <w:r w:rsidRPr="003D2444">
        <w:rPr>
          <w:rFonts w:cs="Arial"/>
          <w:sz w:val="22"/>
          <w:szCs w:val="22"/>
        </w:rPr>
        <w:t>The tab</w:t>
      </w:r>
      <w:r>
        <w:rPr>
          <w:rFonts w:cs="Arial"/>
          <w:sz w:val="22"/>
          <w:szCs w:val="22"/>
        </w:rPr>
        <w:t>le below give</w:t>
      </w:r>
      <w:r w:rsidR="001D6572">
        <w:rPr>
          <w:rFonts w:cs="Arial"/>
          <w:sz w:val="22"/>
          <w:szCs w:val="22"/>
        </w:rPr>
        <w:t>s</w:t>
      </w:r>
      <w:r>
        <w:rPr>
          <w:rFonts w:cs="Arial"/>
          <w:sz w:val="22"/>
          <w:szCs w:val="22"/>
        </w:rPr>
        <w:t xml:space="preserve"> </w:t>
      </w:r>
      <w:r w:rsidR="001D6572">
        <w:rPr>
          <w:rFonts w:cs="Arial"/>
          <w:sz w:val="22"/>
          <w:szCs w:val="22"/>
        </w:rPr>
        <w:t xml:space="preserve">the median sales price for all dwellings by LGA for the Riverina Murray from September 2017 to September 2022. There was strong growth in the median sales price in most LGAs, with the highest proportionate increases in Temora (100%), Edward River (84.2%), Coolamon (78.0%), Cootamundra-Gundagai (77.2%) and Greater Hume (71.1%).  The greatest increases in dollar terms were in </w:t>
      </w:r>
      <w:r w:rsidR="00214538">
        <w:rPr>
          <w:rFonts w:cs="Arial"/>
          <w:sz w:val="22"/>
          <w:szCs w:val="22"/>
        </w:rPr>
        <w:t xml:space="preserve">Temora ($200,000), Griffith ($180,000), Albury ($176,000), Federation ($170,000) and Edward River and Wagga Wagga (both $160.000). </w:t>
      </w:r>
    </w:p>
    <w:p w14:paraId="5AA13034" w14:textId="118F15A6" w:rsidR="00503035" w:rsidRPr="003D2444" w:rsidRDefault="00503035" w:rsidP="003D2444">
      <w:pPr>
        <w:pStyle w:val="ListParagraph"/>
        <w:numPr>
          <w:ilvl w:val="0"/>
          <w:numId w:val="37"/>
        </w:numPr>
        <w:rPr>
          <w:rFonts w:cs="Arial"/>
          <w:sz w:val="22"/>
          <w:szCs w:val="22"/>
        </w:rPr>
      </w:pPr>
      <w:r>
        <w:rPr>
          <w:rFonts w:cs="Arial"/>
          <w:sz w:val="22"/>
          <w:szCs w:val="22"/>
        </w:rPr>
        <w:t xml:space="preserve">Note that there were insufficient sales in some LGAs to calculate </w:t>
      </w:r>
      <w:r w:rsidR="00227D88">
        <w:rPr>
          <w:rFonts w:cs="Arial"/>
          <w:sz w:val="22"/>
          <w:szCs w:val="22"/>
        </w:rPr>
        <w:t>a</w:t>
      </w:r>
      <w:r>
        <w:rPr>
          <w:rFonts w:cs="Arial"/>
          <w:sz w:val="22"/>
          <w:szCs w:val="22"/>
        </w:rPr>
        <w:t xml:space="preserve"> median sales price.</w:t>
      </w:r>
    </w:p>
    <w:p w14:paraId="191A65B2" w14:textId="77777777" w:rsidR="009D2867" w:rsidRPr="00A306DE" w:rsidRDefault="001D6572" w:rsidP="009D2867">
      <w:pPr>
        <w:rPr>
          <w:sz w:val="20"/>
          <w:szCs w:val="20"/>
        </w:rPr>
      </w:pPr>
      <w:r w:rsidRPr="001D6572">
        <w:rPr>
          <w:noProof/>
        </w:rPr>
        <w:lastRenderedPageBreak/>
        <w:drawing>
          <wp:inline distT="0" distB="0" distL="0" distR="0" wp14:anchorId="55C29EB7" wp14:editId="03FACB16">
            <wp:extent cx="3811837" cy="45582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23124" cy="4571727"/>
                    </a:xfrm>
                    <a:prstGeom prst="rect">
                      <a:avLst/>
                    </a:prstGeom>
                    <a:noFill/>
                    <a:ln>
                      <a:noFill/>
                    </a:ln>
                  </pic:spPr>
                </pic:pic>
              </a:graphicData>
            </a:graphic>
          </wp:inline>
        </w:drawing>
      </w:r>
    </w:p>
    <w:p w14:paraId="06BF07EA" w14:textId="77777777" w:rsidR="004044C6" w:rsidRPr="00EC1F46" w:rsidRDefault="004044C6" w:rsidP="004044C6">
      <w:pPr>
        <w:pStyle w:val="ListParagraph"/>
        <w:numPr>
          <w:ilvl w:val="0"/>
          <w:numId w:val="39"/>
        </w:numPr>
        <w:rPr>
          <w:sz w:val="20"/>
          <w:szCs w:val="20"/>
        </w:rPr>
      </w:pPr>
      <w:r>
        <w:rPr>
          <w:sz w:val="22"/>
          <w:szCs w:val="22"/>
        </w:rPr>
        <w:t>However, between 2019 and 2022 there were clear impacts from Covid, creating  more complex changes in the market, as the table below demonstrates.</w:t>
      </w:r>
    </w:p>
    <w:p w14:paraId="699F534D" w14:textId="35D59FDA" w:rsidR="004044C6" w:rsidRPr="00EC1F46" w:rsidRDefault="004044C6" w:rsidP="004044C6">
      <w:pPr>
        <w:pStyle w:val="ListParagraph"/>
        <w:numPr>
          <w:ilvl w:val="0"/>
          <w:numId w:val="39"/>
        </w:numPr>
        <w:rPr>
          <w:sz w:val="20"/>
          <w:szCs w:val="20"/>
        </w:rPr>
      </w:pPr>
      <w:r>
        <w:rPr>
          <w:sz w:val="22"/>
          <w:szCs w:val="22"/>
        </w:rPr>
        <w:t>Between March 2019 and 2020 median house prices experienced comparatively low growth in most LGAs in the region, with the median dwelling price change varying between -8.9% in Berrigan and 19.7% in Leeton.  Most LGAs (with sufficient sales data to calculate the median) seeing much smaller increases than Leeton.</w:t>
      </w:r>
      <w:r w:rsidR="00C3160F">
        <w:rPr>
          <w:sz w:val="22"/>
          <w:szCs w:val="22"/>
        </w:rPr>
        <w:t xml:space="preserve">  In dollar terms, changes in the median sale price ranged between a decline of </w:t>
      </w:r>
      <w:r w:rsidR="0080224A">
        <w:rPr>
          <w:sz w:val="22"/>
          <w:szCs w:val="22"/>
        </w:rPr>
        <w:t>-</w:t>
      </w:r>
      <w:r w:rsidR="00C3160F">
        <w:rPr>
          <w:sz w:val="22"/>
          <w:szCs w:val="22"/>
        </w:rPr>
        <w:t>$21,000 in Berrigan and an increase of $48,000 in Leeton.</w:t>
      </w:r>
    </w:p>
    <w:p w14:paraId="204BB320" w14:textId="7E5DB315" w:rsidR="004044C6" w:rsidRPr="00EC1F46" w:rsidRDefault="004044C6" w:rsidP="004044C6">
      <w:pPr>
        <w:pStyle w:val="ListParagraph"/>
        <w:numPr>
          <w:ilvl w:val="0"/>
          <w:numId w:val="39"/>
        </w:numPr>
        <w:rPr>
          <w:sz w:val="20"/>
          <w:szCs w:val="20"/>
        </w:rPr>
      </w:pPr>
      <w:r>
        <w:rPr>
          <w:sz w:val="22"/>
          <w:szCs w:val="22"/>
        </w:rPr>
        <w:t>Between March 2021 and March 2022 there was strong growth in median house prices in every Riverina Murray LGA. Increases in the median sales price for houses ranged between 57.3% in Murray River and 6.1% in Edward River.</w:t>
      </w:r>
      <w:r w:rsidR="00C3160F">
        <w:rPr>
          <w:sz w:val="22"/>
          <w:szCs w:val="22"/>
        </w:rPr>
        <w:t xml:space="preserve">  </w:t>
      </w:r>
      <w:r>
        <w:rPr>
          <w:sz w:val="22"/>
          <w:szCs w:val="22"/>
        </w:rPr>
        <w:t xml:space="preserve">The biggest increase in dollar terms occurring in Murray River </w:t>
      </w:r>
      <w:r w:rsidR="00C3160F">
        <w:rPr>
          <w:sz w:val="22"/>
          <w:szCs w:val="22"/>
        </w:rPr>
        <w:t>(</w:t>
      </w:r>
      <w:r>
        <w:rPr>
          <w:sz w:val="22"/>
          <w:szCs w:val="22"/>
        </w:rPr>
        <w:t>$235,000</w:t>
      </w:r>
      <w:r w:rsidR="00C3160F">
        <w:rPr>
          <w:sz w:val="22"/>
          <w:szCs w:val="22"/>
        </w:rPr>
        <w:t>)</w:t>
      </w:r>
      <w:r>
        <w:rPr>
          <w:sz w:val="22"/>
          <w:szCs w:val="22"/>
        </w:rPr>
        <w:t xml:space="preserve">, followed by </w:t>
      </w:r>
      <w:r w:rsidR="00C3160F">
        <w:rPr>
          <w:sz w:val="22"/>
          <w:szCs w:val="22"/>
        </w:rPr>
        <w:t>Snowy Valleys ($132,000), Greater Hume ($118,000) and Wagga Wagga ($103,000), while the smallest increase was in Leeton ($18,000)</w:t>
      </w:r>
      <w:r>
        <w:rPr>
          <w:sz w:val="22"/>
          <w:szCs w:val="22"/>
        </w:rPr>
        <w:t xml:space="preserve">. </w:t>
      </w:r>
    </w:p>
    <w:p w14:paraId="61FDD4CE" w14:textId="22C1C12E" w:rsidR="00693892" w:rsidRPr="004044C6" w:rsidRDefault="004044C6" w:rsidP="009D2867">
      <w:pPr>
        <w:rPr>
          <w:b/>
          <w:sz w:val="22"/>
          <w:szCs w:val="22"/>
        </w:rPr>
      </w:pPr>
      <w:r w:rsidRPr="004044C6">
        <w:rPr>
          <w:noProof/>
        </w:rPr>
        <w:lastRenderedPageBreak/>
        <w:drawing>
          <wp:inline distT="0" distB="0" distL="0" distR="0" wp14:anchorId="64AB6A70" wp14:editId="2E44936A">
            <wp:extent cx="5274310" cy="29546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2954655"/>
                    </a:xfrm>
                    <a:prstGeom prst="rect">
                      <a:avLst/>
                    </a:prstGeom>
                    <a:noFill/>
                    <a:ln>
                      <a:noFill/>
                    </a:ln>
                  </pic:spPr>
                </pic:pic>
              </a:graphicData>
            </a:graphic>
          </wp:inline>
        </w:drawing>
      </w:r>
    </w:p>
    <w:p w14:paraId="4DCDF8D5" w14:textId="589C128F" w:rsidR="004044C6" w:rsidRPr="009563C6" w:rsidRDefault="004044C6" w:rsidP="004044C6">
      <w:pPr>
        <w:numPr>
          <w:ilvl w:val="0"/>
          <w:numId w:val="40"/>
        </w:numPr>
        <w:spacing w:before="0" w:after="0"/>
        <w:ind w:left="360"/>
        <w:rPr>
          <w:sz w:val="22"/>
          <w:szCs w:val="22"/>
        </w:rPr>
      </w:pPr>
      <w:r>
        <w:rPr>
          <w:sz w:val="22"/>
          <w:szCs w:val="22"/>
        </w:rPr>
        <w:t>At March 202</w:t>
      </w:r>
      <w:r w:rsidR="00CF11EB">
        <w:rPr>
          <w:sz w:val="22"/>
          <w:szCs w:val="22"/>
        </w:rPr>
        <w:t>3</w:t>
      </w:r>
      <w:r>
        <w:rPr>
          <w:sz w:val="22"/>
          <w:szCs w:val="22"/>
        </w:rPr>
        <w:t>, t</w:t>
      </w:r>
      <w:r w:rsidRPr="007D49E6">
        <w:rPr>
          <w:sz w:val="22"/>
          <w:szCs w:val="22"/>
        </w:rPr>
        <w:t xml:space="preserve">he median sales price for houses </w:t>
      </w:r>
      <w:r>
        <w:rPr>
          <w:sz w:val="22"/>
          <w:szCs w:val="22"/>
        </w:rPr>
        <w:t>is</w:t>
      </w:r>
      <w:r w:rsidRPr="007D49E6">
        <w:rPr>
          <w:sz w:val="22"/>
          <w:szCs w:val="22"/>
        </w:rPr>
        <w:t xml:space="preserve"> highest in</w:t>
      </w:r>
      <w:r w:rsidR="00CF11EB">
        <w:rPr>
          <w:sz w:val="22"/>
          <w:szCs w:val="22"/>
        </w:rPr>
        <w:t xml:space="preserve"> Murray River ($637,000), Griffith ($546,000), Wagga Wagga ($539,000) and Albury ($531,000)</w:t>
      </w:r>
      <w:r>
        <w:rPr>
          <w:sz w:val="22"/>
          <w:szCs w:val="22"/>
        </w:rPr>
        <w:t>.</w:t>
      </w:r>
    </w:p>
    <w:p w14:paraId="1C6CD29A" w14:textId="17D8089A" w:rsidR="004044C6" w:rsidRDefault="004044C6" w:rsidP="009D2867">
      <w:pPr>
        <w:rPr>
          <w:b/>
          <w:sz w:val="22"/>
          <w:szCs w:val="22"/>
        </w:rPr>
      </w:pPr>
    </w:p>
    <w:p w14:paraId="55CEAD2C" w14:textId="77777777" w:rsidR="004044C6" w:rsidRPr="004044C6" w:rsidRDefault="004044C6" w:rsidP="009D2867">
      <w:pPr>
        <w:rPr>
          <w:b/>
          <w:sz w:val="22"/>
          <w:szCs w:val="22"/>
        </w:rPr>
      </w:pPr>
    </w:p>
    <w:p w14:paraId="61D9BC73" w14:textId="77777777" w:rsidR="009D2867" w:rsidRPr="00951BEC" w:rsidRDefault="009D2867" w:rsidP="009D2867">
      <w:pPr>
        <w:rPr>
          <w:b/>
          <w:color w:val="008000"/>
          <w:sz w:val="32"/>
        </w:rPr>
      </w:pPr>
      <w:r w:rsidRPr="00951BEC">
        <w:rPr>
          <w:b/>
          <w:color w:val="008000"/>
          <w:sz w:val="32"/>
        </w:rPr>
        <w:t>Purchase Affordability</w:t>
      </w:r>
    </w:p>
    <w:p w14:paraId="791F6AE8" w14:textId="77777777" w:rsidR="00AE4CC5" w:rsidRPr="00D44643" w:rsidRDefault="00AE4CC5" w:rsidP="009D2867">
      <w:pPr>
        <w:numPr>
          <w:ilvl w:val="0"/>
          <w:numId w:val="26"/>
        </w:numPr>
        <w:spacing w:before="0" w:after="0"/>
        <w:rPr>
          <w:sz w:val="22"/>
          <w:szCs w:val="22"/>
        </w:rPr>
      </w:pPr>
      <w:r>
        <w:t>While t</w:t>
      </w:r>
      <w:r w:rsidRPr="00E1287E">
        <w:rPr>
          <w:sz w:val="22"/>
          <w:szCs w:val="22"/>
        </w:rPr>
        <w:t xml:space="preserve">he region </w:t>
      </w:r>
      <w:r>
        <w:t>is</w:t>
      </w:r>
      <w:r w:rsidRPr="00E1287E">
        <w:rPr>
          <w:sz w:val="22"/>
          <w:szCs w:val="22"/>
        </w:rPr>
        <w:t xml:space="preserve"> </w:t>
      </w:r>
      <w:r w:rsidRPr="00D44643">
        <w:rPr>
          <w:sz w:val="22"/>
          <w:szCs w:val="22"/>
        </w:rPr>
        <w:t>generally more affordable than the average for the Rest of NSW, purchase affordability for very low income earners in the Riverina Murray region has declined since 2017 and in some LGAs for low income households</w:t>
      </w:r>
      <w:r w:rsidR="00BC779C" w:rsidRPr="00D44643">
        <w:rPr>
          <w:sz w:val="22"/>
          <w:szCs w:val="22"/>
        </w:rPr>
        <w:t xml:space="preserve"> as well</w:t>
      </w:r>
      <w:r w:rsidRPr="00D44643">
        <w:rPr>
          <w:sz w:val="22"/>
          <w:szCs w:val="22"/>
        </w:rPr>
        <w:t>.</w:t>
      </w:r>
    </w:p>
    <w:p w14:paraId="45552C09" w14:textId="77777777" w:rsidR="00AE4CC5" w:rsidRPr="00D44643" w:rsidRDefault="008F120A" w:rsidP="009D2867">
      <w:pPr>
        <w:numPr>
          <w:ilvl w:val="0"/>
          <w:numId w:val="26"/>
        </w:numPr>
        <w:spacing w:before="0" w:after="0"/>
        <w:rPr>
          <w:sz w:val="22"/>
          <w:szCs w:val="22"/>
        </w:rPr>
      </w:pPr>
      <w:r w:rsidRPr="00D44643">
        <w:rPr>
          <w:sz w:val="22"/>
          <w:szCs w:val="22"/>
        </w:rPr>
        <w:t>Both Berrigan and Griffith had a lower proportion of sales affordable for purchase by very low income households at June 2021 than the Rest of NSW average of 7.5%, while Albury was just above</w:t>
      </w:r>
      <w:r w:rsidR="00BC779C" w:rsidRPr="00D44643">
        <w:rPr>
          <w:sz w:val="22"/>
          <w:szCs w:val="22"/>
        </w:rPr>
        <w:t xml:space="preserve"> </w:t>
      </w:r>
      <w:r w:rsidR="00735026" w:rsidRPr="00D44643">
        <w:rPr>
          <w:sz w:val="22"/>
          <w:szCs w:val="22"/>
        </w:rPr>
        <w:t xml:space="preserve">with 9.3% </w:t>
      </w:r>
      <w:r w:rsidR="00BC779C" w:rsidRPr="00D44643">
        <w:rPr>
          <w:sz w:val="22"/>
          <w:szCs w:val="22"/>
        </w:rPr>
        <w:t>and</w:t>
      </w:r>
      <w:r w:rsidRPr="00D44643">
        <w:rPr>
          <w:sz w:val="22"/>
          <w:szCs w:val="22"/>
        </w:rPr>
        <w:t xml:space="preserve"> the remainder of LGAs in the region were more affordable.</w:t>
      </w:r>
    </w:p>
    <w:p w14:paraId="6F872285" w14:textId="77777777" w:rsidR="008F120A" w:rsidRPr="00D44643" w:rsidRDefault="008F120A" w:rsidP="009D2867">
      <w:pPr>
        <w:numPr>
          <w:ilvl w:val="0"/>
          <w:numId w:val="26"/>
        </w:numPr>
        <w:spacing w:before="0" w:after="0"/>
        <w:rPr>
          <w:sz w:val="22"/>
          <w:szCs w:val="22"/>
        </w:rPr>
      </w:pPr>
      <w:r w:rsidRPr="00D44643">
        <w:rPr>
          <w:sz w:val="22"/>
          <w:szCs w:val="22"/>
        </w:rPr>
        <w:t>The graph and table below show the proportion of sales affordable for purchase by very low income households for the Riverina Murray LGAs from 2017 to 2021.  Note that many LGAs in the region had insufficient sales to determine affordability.</w:t>
      </w:r>
    </w:p>
    <w:p w14:paraId="2E442C92" w14:textId="77777777" w:rsidR="00AE4CC5" w:rsidRDefault="00AE4CC5" w:rsidP="008F120A">
      <w:pPr>
        <w:spacing w:before="0" w:after="0"/>
        <w:rPr>
          <w:sz w:val="22"/>
          <w:szCs w:val="22"/>
        </w:rPr>
      </w:pPr>
    </w:p>
    <w:p w14:paraId="086EB861" w14:textId="77777777" w:rsidR="008F120A" w:rsidRDefault="008F120A" w:rsidP="008F120A">
      <w:pPr>
        <w:spacing w:before="0" w:after="0"/>
        <w:rPr>
          <w:sz w:val="22"/>
          <w:szCs w:val="22"/>
        </w:rPr>
      </w:pPr>
      <w:r>
        <w:rPr>
          <w:noProof/>
          <w:sz w:val="22"/>
          <w:szCs w:val="22"/>
        </w:rPr>
        <w:lastRenderedPageBreak/>
        <w:drawing>
          <wp:inline distT="0" distB="0" distL="0" distR="0" wp14:anchorId="58CF2041" wp14:editId="1D1542B2">
            <wp:extent cx="6153843" cy="323156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64505" cy="3237159"/>
                    </a:xfrm>
                    <a:prstGeom prst="rect">
                      <a:avLst/>
                    </a:prstGeom>
                    <a:noFill/>
                  </pic:spPr>
                </pic:pic>
              </a:graphicData>
            </a:graphic>
          </wp:inline>
        </w:drawing>
      </w:r>
    </w:p>
    <w:p w14:paraId="1AA424D4" w14:textId="77777777" w:rsidR="008F120A" w:rsidRDefault="008F120A" w:rsidP="008F120A">
      <w:pPr>
        <w:spacing w:before="0" w:after="0"/>
        <w:rPr>
          <w:sz w:val="22"/>
          <w:szCs w:val="22"/>
        </w:rPr>
      </w:pPr>
    </w:p>
    <w:p w14:paraId="089FDA0E" w14:textId="77777777" w:rsidR="008F120A" w:rsidRPr="00D44643" w:rsidRDefault="008F120A" w:rsidP="008F120A">
      <w:pPr>
        <w:spacing w:before="0" w:after="0"/>
        <w:rPr>
          <w:sz w:val="22"/>
          <w:szCs w:val="22"/>
        </w:rPr>
      </w:pPr>
    </w:p>
    <w:p w14:paraId="777CF6C4" w14:textId="77777777" w:rsidR="008F120A" w:rsidRPr="00D44643" w:rsidRDefault="008F120A" w:rsidP="008F120A">
      <w:pPr>
        <w:spacing w:before="0" w:after="0"/>
        <w:rPr>
          <w:sz w:val="22"/>
          <w:szCs w:val="22"/>
        </w:rPr>
      </w:pPr>
      <w:r w:rsidRPr="00D44643">
        <w:rPr>
          <w:sz w:val="22"/>
          <w:szCs w:val="22"/>
        </w:rPr>
        <w:t>Proportion of sales affordable to very low income households</w:t>
      </w:r>
    </w:p>
    <w:p w14:paraId="1013B970" w14:textId="77777777" w:rsidR="008F120A" w:rsidRDefault="008F120A" w:rsidP="008F120A">
      <w:pPr>
        <w:spacing w:before="0" w:after="0"/>
        <w:rPr>
          <w:sz w:val="22"/>
          <w:szCs w:val="22"/>
        </w:rPr>
      </w:pPr>
      <w:r w:rsidRPr="008F120A">
        <w:rPr>
          <w:noProof/>
        </w:rPr>
        <w:drawing>
          <wp:inline distT="0" distB="0" distL="0" distR="0" wp14:anchorId="53AC5B6A" wp14:editId="163BC68E">
            <wp:extent cx="5106390" cy="283703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2858" cy="2840627"/>
                    </a:xfrm>
                    <a:prstGeom prst="rect">
                      <a:avLst/>
                    </a:prstGeom>
                    <a:noFill/>
                    <a:ln>
                      <a:noFill/>
                    </a:ln>
                  </pic:spPr>
                </pic:pic>
              </a:graphicData>
            </a:graphic>
          </wp:inline>
        </w:drawing>
      </w:r>
    </w:p>
    <w:p w14:paraId="5FBDB775" w14:textId="77777777" w:rsidR="008F120A" w:rsidRDefault="008F120A" w:rsidP="008F120A">
      <w:pPr>
        <w:spacing w:before="0" w:after="0"/>
        <w:rPr>
          <w:sz w:val="22"/>
          <w:szCs w:val="22"/>
        </w:rPr>
      </w:pPr>
    </w:p>
    <w:p w14:paraId="0C33DF12" w14:textId="77777777" w:rsidR="008F120A" w:rsidRDefault="008F120A" w:rsidP="008F120A">
      <w:pPr>
        <w:spacing w:before="0" w:after="0"/>
        <w:rPr>
          <w:sz w:val="22"/>
          <w:szCs w:val="22"/>
        </w:rPr>
      </w:pPr>
    </w:p>
    <w:p w14:paraId="3D0167AB" w14:textId="77777777" w:rsidR="00ED2799" w:rsidRDefault="00ED2799" w:rsidP="00ED2799">
      <w:pPr>
        <w:pStyle w:val="ListParagraph"/>
        <w:numPr>
          <w:ilvl w:val="0"/>
          <w:numId w:val="38"/>
        </w:numPr>
        <w:spacing w:before="0" w:after="0"/>
        <w:rPr>
          <w:sz w:val="22"/>
          <w:szCs w:val="22"/>
        </w:rPr>
      </w:pPr>
      <w:r>
        <w:rPr>
          <w:sz w:val="22"/>
          <w:szCs w:val="22"/>
        </w:rPr>
        <w:t>All the Riverina Murray LGAs have a higher proportion of sales affordable for purchase by low income households at June 2021 than the average for the Rest of NSW of 23.8%</w:t>
      </w:r>
      <w:r w:rsidR="00FB3477">
        <w:rPr>
          <w:sz w:val="22"/>
          <w:szCs w:val="22"/>
        </w:rPr>
        <w:t xml:space="preserve">, </w:t>
      </w:r>
      <w:r w:rsidR="00735026">
        <w:rPr>
          <w:sz w:val="22"/>
          <w:szCs w:val="22"/>
        </w:rPr>
        <w:t xml:space="preserve">with the exception of Berrigan with </w:t>
      </w:r>
      <w:r w:rsidR="00FB3477">
        <w:rPr>
          <w:sz w:val="22"/>
          <w:szCs w:val="22"/>
        </w:rPr>
        <w:t>15.9% and Griffith was just above with 25.3%</w:t>
      </w:r>
      <w:r>
        <w:rPr>
          <w:sz w:val="22"/>
          <w:szCs w:val="22"/>
        </w:rPr>
        <w:t xml:space="preserve">.    </w:t>
      </w:r>
    </w:p>
    <w:p w14:paraId="79F2D273" w14:textId="77777777" w:rsidR="00FB3477" w:rsidRPr="00EC4CF5" w:rsidRDefault="00EC4CF5" w:rsidP="0010439E">
      <w:pPr>
        <w:pStyle w:val="ListParagraph"/>
        <w:numPr>
          <w:ilvl w:val="0"/>
          <w:numId w:val="38"/>
        </w:numPr>
        <w:spacing w:before="0" w:after="0"/>
        <w:rPr>
          <w:sz w:val="22"/>
          <w:szCs w:val="22"/>
        </w:rPr>
      </w:pPr>
      <w:r w:rsidRPr="00EC4CF5">
        <w:rPr>
          <w:sz w:val="22"/>
          <w:szCs w:val="22"/>
        </w:rPr>
        <w:t>The graph and table below show the proportion of sales affordable for purchase by low income households for the Riverina Murray LGAs from 2017 to 2021.  Again many LGAs in the region had insufficient sales to determine affordability.</w:t>
      </w:r>
    </w:p>
    <w:p w14:paraId="738082FB" w14:textId="77777777" w:rsidR="00FB3477" w:rsidRDefault="00FB3477" w:rsidP="00FB3477">
      <w:pPr>
        <w:spacing w:before="0" w:after="0"/>
        <w:rPr>
          <w:sz w:val="22"/>
          <w:szCs w:val="22"/>
        </w:rPr>
      </w:pPr>
    </w:p>
    <w:p w14:paraId="0AEF6245" w14:textId="2CA2C23E" w:rsidR="00FB3477" w:rsidRDefault="00D44643" w:rsidP="00FB3477">
      <w:pPr>
        <w:spacing w:before="0" w:after="0"/>
        <w:rPr>
          <w:sz w:val="22"/>
          <w:szCs w:val="22"/>
        </w:rPr>
      </w:pPr>
      <w:r>
        <w:rPr>
          <w:noProof/>
          <w:sz w:val="22"/>
          <w:szCs w:val="22"/>
        </w:rPr>
        <w:lastRenderedPageBreak/>
        <w:drawing>
          <wp:inline distT="0" distB="0" distL="0" distR="0" wp14:anchorId="3AB34BF7" wp14:editId="34816081">
            <wp:extent cx="5965190" cy="3121286"/>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3334" cy="3125547"/>
                    </a:xfrm>
                    <a:prstGeom prst="rect">
                      <a:avLst/>
                    </a:prstGeom>
                    <a:noFill/>
                  </pic:spPr>
                </pic:pic>
              </a:graphicData>
            </a:graphic>
          </wp:inline>
        </w:drawing>
      </w:r>
    </w:p>
    <w:p w14:paraId="1C99B328" w14:textId="77777777" w:rsidR="00FB3477" w:rsidRDefault="00FB3477" w:rsidP="00FB3477">
      <w:pPr>
        <w:spacing w:before="0" w:after="0"/>
        <w:rPr>
          <w:sz w:val="22"/>
          <w:szCs w:val="22"/>
        </w:rPr>
      </w:pPr>
    </w:p>
    <w:p w14:paraId="334905B1" w14:textId="77777777" w:rsidR="00FB3477" w:rsidRDefault="00FB3477" w:rsidP="00FB3477">
      <w:pPr>
        <w:spacing w:before="0" w:after="0"/>
        <w:rPr>
          <w:sz w:val="22"/>
          <w:szCs w:val="22"/>
        </w:rPr>
      </w:pPr>
      <w:r>
        <w:rPr>
          <w:sz w:val="22"/>
          <w:szCs w:val="22"/>
        </w:rPr>
        <w:t>Proportion of sales affordable to low income households</w:t>
      </w:r>
    </w:p>
    <w:tbl>
      <w:tblPr>
        <w:tblW w:w="8119" w:type="dxa"/>
        <w:tblLook w:val="04A0" w:firstRow="1" w:lastRow="0" w:firstColumn="1" w:lastColumn="0" w:noHBand="0" w:noVBand="1"/>
      </w:tblPr>
      <w:tblGrid>
        <w:gridCol w:w="2964"/>
        <w:gridCol w:w="1031"/>
        <w:gridCol w:w="1031"/>
        <w:gridCol w:w="1031"/>
        <w:gridCol w:w="1031"/>
        <w:gridCol w:w="1031"/>
      </w:tblGrid>
      <w:tr w:rsidR="00EC4CF5" w:rsidRPr="00EC4CF5" w14:paraId="1C7BF541" w14:textId="77777777" w:rsidTr="00EC4CF5">
        <w:trPr>
          <w:trHeight w:val="327"/>
        </w:trPr>
        <w:tc>
          <w:tcPr>
            <w:tcW w:w="2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C21DC" w14:textId="77777777" w:rsidR="00EC4CF5" w:rsidRPr="00EC4CF5" w:rsidRDefault="00EC4CF5" w:rsidP="00EC4CF5">
            <w:pPr>
              <w:spacing w:before="0" w:after="0"/>
              <w:jc w:val="center"/>
              <w:rPr>
                <w:rFonts w:ascii="Calibri" w:hAnsi="Calibri"/>
                <w:b/>
                <w:bCs/>
                <w:sz w:val="22"/>
                <w:szCs w:val="22"/>
              </w:rPr>
            </w:pPr>
            <w:r w:rsidRPr="00EC4CF5">
              <w:rPr>
                <w:rFonts w:ascii="Calibri" w:hAnsi="Calibri"/>
                <w:b/>
                <w:bCs/>
                <w:sz w:val="22"/>
                <w:szCs w:val="22"/>
              </w:rPr>
              <w:t>Area</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365B9E22" w14:textId="77777777" w:rsidR="00EC4CF5" w:rsidRPr="00EC4CF5" w:rsidRDefault="00EC4CF5" w:rsidP="00EC4CF5">
            <w:pPr>
              <w:spacing w:before="0" w:after="0"/>
              <w:rPr>
                <w:rFonts w:ascii="Calibri" w:hAnsi="Calibri"/>
                <w:b/>
                <w:bCs/>
                <w:color w:val="000000"/>
                <w:sz w:val="22"/>
                <w:szCs w:val="22"/>
              </w:rPr>
            </w:pPr>
            <w:r w:rsidRPr="00EC4CF5">
              <w:rPr>
                <w:rFonts w:ascii="Calibri" w:hAnsi="Calibri"/>
                <w:b/>
                <w:bCs/>
                <w:color w:val="000000"/>
                <w:sz w:val="22"/>
                <w:szCs w:val="22"/>
              </w:rPr>
              <w:t>June 2017</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73CE5471" w14:textId="77777777" w:rsidR="00EC4CF5" w:rsidRPr="00EC4CF5" w:rsidRDefault="00EC4CF5" w:rsidP="00EC4CF5">
            <w:pPr>
              <w:spacing w:before="0" w:after="0"/>
              <w:rPr>
                <w:rFonts w:ascii="Calibri" w:hAnsi="Calibri"/>
                <w:b/>
                <w:bCs/>
                <w:color w:val="000000"/>
                <w:sz w:val="22"/>
                <w:szCs w:val="22"/>
              </w:rPr>
            </w:pPr>
            <w:r w:rsidRPr="00EC4CF5">
              <w:rPr>
                <w:rFonts w:ascii="Calibri" w:hAnsi="Calibri"/>
                <w:b/>
                <w:bCs/>
                <w:color w:val="000000"/>
                <w:sz w:val="22"/>
                <w:szCs w:val="22"/>
              </w:rPr>
              <w:t>June 2018</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4D8A67F0" w14:textId="77777777" w:rsidR="00EC4CF5" w:rsidRPr="00EC4CF5" w:rsidRDefault="00EC4CF5" w:rsidP="00EC4CF5">
            <w:pPr>
              <w:spacing w:before="0" w:after="0"/>
              <w:rPr>
                <w:rFonts w:ascii="Calibri" w:hAnsi="Calibri"/>
                <w:b/>
                <w:bCs/>
                <w:color w:val="000000"/>
                <w:sz w:val="22"/>
                <w:szCs w:val="22"/>
              </w:rPr>
            </w:pPr>
            <w:r w:rsidRPr="00EC4CF5">
              <w:rPr>
                <w:rFonts w:ascii="Calibri" w:hAnsi="Calibri"/>
                <w:b/>
                <w:bCs/>
                <w:color w:val="000000"/>
                <w:sz w:val="22"/>
                <w:szCs w:val="22"/>
              </w:rPr>
              <w:t>June 2019</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51C249D0" w14:textId="77777777" w:rsidR="00EC4CF5" w:rsidRPr="00EC4CF5" w:rsidRDefault="00EC4CF5" w:rsidP="00EC4CF5">
            <w:pPr>
              <w:spacing w:before="0" w:after="0"/>
              <w:rPr>
                <w:rFonts w:ascii="Calibri" w:hAnsi="Calibri"/>
                <w:b/>
                <w:bCs/>
                <w:color w:val="000000"/>
                <w:sz w:val="22"/>
                <w:szCs w:val="22"/>
              </w:rPr>
            </w:pPr>
            <w:r w:rsidRPr="00EC4CF5">
              <w:rPr>
                <w:rFonts w:ascii="Calibri" w:hAnsi="Calibri"/>
                <w:b/>
                <w:bCs/>
                <w:color w:val="000000"/>
                <w:sz w:val="22"/>
                <w:szCs w:val="22"/>
              </w:rPr>
              <w:t>June 2020</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2596926C" w14:textId="77777777" w:rsidR="00EC4CF5" w:rsidRPr="00EC4CF5" w:rsidRDefault="00EC4CF5" w:rsidP="00EC4CF5">
            <w:pPr>
              <w:spacing w:before="0" w:after="0"/>
              <w:rPr>
                <w:rFonts w:ascii="Calibri" w:hAnsi="Calibri"/>
                <w:b/>
                <w:bCs/>
                <w:color w:val="000000"/>
                <w:sz w:val="22"/>
                <w:szCs w:val="22"/>
              </w:rPr>
            </w:pPr>
            <w:r w:rsidRPr="00EC4CF5">
              <w:rPr>
                <w:rFonts w:ascii="Calibri" w:hAnsi="Calibri"/>
                <w:b/>
                <w:bCs/>
                <w:color w:val="000000"/>
                <w:sz w:val="22"/>
                <w:szCs w:val="22"/>
              </w:rPr>
              <w:t>June 2021</w:t>
            </w:r>
          </w:p>
        </w:tc>
      </w:tr>
      <w:tr w:rsidR="00EC4CF5" w:rsidRPr="00EC4CF5" w14:paraId="62BA63F9"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5A7C850B"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Albury</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8ED4E"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54.9</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4F84C245"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52.9</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331DB180"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56.4</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152F4C93"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60.8</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52996B68"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49.6</w:t>
            </w:r>
          </w:p>
        </w:tc>
      </w:tr>
      <w:tr w:rsidR="00EC4CF5" w:rsidRPr="00EC4CF5" w14:paraId="4BBB84D0"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239A3694"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Berrigan</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6E2C8D8D"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76.3</w:t>
            </w:r>
          </w:p>
        </w:tc>
        <w:tc>
          <w:tcPr>
            <w:tcW w:w="1031" w:type="dxa"/>
            <w:tcBorders>
              <w:top w:val="nil"/>
              <w:left w:val="nil"/>
              <w:bottom w:val="single" w:sz="4" w:space="0" w:color="auto"/>
              <w:right w:val="single" w:sz="4" w:space="0" w:color="auto"/>
            </w:tcBorders>
            <w:shd w:val="clear" w:color="auto" w:fill="auto"/>
            <w:noWrap/>
            <w:vAlign w:val="bottom"/>
            <w:hideMark/>
          </w:tcPr>
          <w:p w14:paraId="3E3F467F"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5.9</w:t>
            </w:r>
          </w:p>
        </w:tc>
        <w:tc>
          <w:tcPr>
            <w:tcW w:w="1031" w:type="dxa"/>
            <w:tcBorders>
              <w:top w:val="nil"/>
              <w:left w:val="nil"/>
              <w:bottom w:val="single" w:sz="4" w:space="0" w:color="auto"/>
              <w:right w:val="single" w:sz="4" w:space="0" w:color="auto"/>
            </w:tcBorders>
            <w:shd w:val="clear" w:color="auto" w:fill="auto"/>
            <w:noWrap/>
            <w:vAlign w:val="bottom"/>
            <w:hideMark/>
          </w:tcPr>
          <w:p w14:paraId="1C803BBF"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8.7</w:t>
            </w:r>
          </w:p>
        </w:tc>
        <w:tc>
          <w:tcPr>
            <w:tcW w:w="1031" w:type="dxa"/>
            <w:tcBorders>
              <w:top w:val="nil"/>
              <w:left w:val="nil"/>
              <w:bottom w:val="single" w:sz="4" w:space="0" w:color="auto"/>
              <w:right w:val="single" w:sz="4" w:space="0" w:color="auto"/>
            </w:tcBorders>
            <w:shd w:val="clear" w:color="auto" w:fill="auto"/>
            <w:noWrap/>
            <w:vAlign w:val="bottom"/>
            <w:hideMark/>
          </w:tcPr>
          <w:p w14:paraId="7E80DE68"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0.0</w:t>
            </w:r>
          </w:p>
        </w:tc>
        <w:tc>
          <w:tcPr>
            <w:tcW w:w="1031" w:type="dxa"/>
            <w:tcBorders>
              <w:top w:val="nil"/>
              <w:left w:val="nil"/>
              <w:bottom w:val="single" w:sz="4" w:space="0" w:color="auto"/>
              <w:right w:val="single" w:sz="4" w:space="0" w:color="auto"/>
            </w:tcBorders>
            <w:shd w:val="clear" w:color="auto" w:fill="auto"/>
            <w:noWrap/>
            <w:vAlign w:val="bottom"/>
            <w:hideMark/>
          </w:tcPr>
          <w:p w14:paraId="30E13BAF"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15.9</w:t>
            </w:r>
          </w:p>
        </w:tc>
      </w:tr>
      <w:tr w:rsidR="00EC4CF5" w:rsidRPr="00EC4CF5" w14:paraId="05270B03"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73E2EA0A"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Bland</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6339709A"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81.5</w:t>
            </w:r>
          </w:p>
        </w:tc>
        <w:tc>
          <w:tcPr>
            <w:tcW w:w="1031" w:type="dxa"/>
            <w:tcBorders>
              <w:top w:val="nil"/>
              <w:left w:val="nil"/>
              <w:bottom w:val="single" w:sz="4" w:space="0" w:color="auto"/>
              <w:right w:val="single" w:sz="4" w:space="0" w:color="auto"/>
            </w:tcBorders>
            <w:shd w:val="clear" w:color="auto" w:fill="auto"/>
            <w:noWrap/>
            <w:vAlign w:val="bottom"/>
            <w:hideMark/>
          </w:tcPr>
          <w:p w14:paraId="2DA19E3C"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2C4038EB"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36D45009"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0A0F39BF"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100.0</w:t>
            </w:r>
          </w:p>
        </w:tc>
      </w:tr>
      <w:tr w:rsidR="00EC4CF5" w:rsidRPr="00EC4CF5" w14:paraId="7C3C04B5"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45DE3586"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Edward River</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78B841CC"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78.6</w:t>
            </w:r>
          </w:p>
        </w:tc>
        <w:tc>
          <w:tcPr>
            <w:tcW w:w="1031" w:type="dxa"/>
            <w:tcBorders>
              <w:top w:val="nil"/>
              <w:left w:val="nil"/>
              <w:bottom w:val="single" w:sz="4" w:space="0" w:color="auto"/>
              <w:right w:val="single" w:sz="4" w:space="0" w:color="auto"/>
            </w:tcBorders>
            <w:shd w:val="clear" w:color="auto" w:fill="auto"/>
            <w:noWrap/>
            <w:vAlign w:val="bottom"/>
            <w:hideMark/>
          </w:tcPr>
          <w:p w14:paraId="4FC1336F"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82.5</w:t>
            </w:r>
          </w:p>
        </w:tc>
        <w:tc>
          <w:tcPr>
            <w:tcW w:w="1031" w:type="dxa"/>
            <w:tcBorders>
              <w:top w:val="nil"/>
              <w:left w:val="nil"/>
              <w:bottom w:val="single" w:sz="4" w:space="0" w:color="auto"/>
              <w:right w:val="single" w:sz="4" w:space="0" w:color="auto"/>
            </w:tcBorders>
            <w:shd w:val="clear" w:color="auto" w:fill="auto"/>
            <w:noWrap/>
            <w:vAlign w:val="bottom"/>
            <w:hideMark/>
          </w:tcPr>
          <w:p w14:paraId="41DEFAC6"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2247426B"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83.3</w:t>
            </w:r>
          </w:p>
        </w:tc>
        <w:tc>
          <w:tcPr>
            <w:tcW w:w="1031" w:type="dxa"/>
            <w:tcBorders>
              <w:top w:val="nil"/>
              <w:left w:val="nil"/>
              <w:bottom w:val="single" w:sz="4" w:space="0" w:color="auto"/>
              <w:right w:val="single" w:sz="4" w:space="0" w:color="auto"/>
            </w:tcBorders>
            <w:shd w:val="clear" w:color="auto" w:fill="auto"/>
            <w:noWrap/>
            <w:vAlign w:val="bottom"/>
            <w:hideMark/>
          </w:tcPr>
          <w:p w14:paraId="22CBB719"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76.5</w:t>
            </w:r>
          </w:p>
        </w:tc>
      </w:tr>
      <w:tr w:rsidR="00EC4CF5" w:rsidRPr="00EC4CF5" w14:paraId="19FBC749"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258D90A9"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Federation Council</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42F37571"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59.6</w:t>
            </w:r>
          </w:p>
        </w:tc>
        <w:tc>
          <w:tcPr>
            <w:tcW w:w="1031" w:type="dxa"/>
            <w:tcBorders>
              <w:top w:val="nil"/>
              <w:left w:val="nil"/>
              <w:bottom w:val="single" w:sz="4" w:space="0" w:color="auto"/>
              <w:right w:val="single" w:sz="4" w:space="0" w:color="auto"/>
            </w:tcBorders>
            <w:shd w:val="clear" w:color="auto" w:fill="auto"/>
            <w:noWrap/>
            <w:vAlign w:val="bottom"/>
            <w:hideMark/>
          </w:tcPr>
          <w:p w14:paraId="10ED45EC"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73.5</w:t>
            </w:r>
          </w:p>
        </w:tc>
        <w:tc>
          <w:tcPr>
            <w:tcW w:w="1031" w:type="dxa"/>
            <w:tcBorders>
              <w:top w:val="nil"/>
              <w:left w:val="nil"/>
              <w:bottom w:val="single" w:sz="4" w:space="0" w:color="auto"/>
              <w:right w:val="single" w:sz="4" w:space="0" w:color="auto"/>
            </w:tcBorders>
            <w:shd w:val="clear" w:color="auto" w:fill="auto"/>
            <w:noWrap/>
            <w:vAlign w:val="bottom"/>
            <w:hideMark/>
          </w:tcPr>
          <w:p w14:paraId="79A0285A"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71.6</w:t>
            </w:r>
          </w:p>
        </w:tc>
        <w:tc>
          <w:tcPr>
            <w:tcW w:w="1031" w:type="dxa"/>
            <w:tcBorders>
              <w:top w:val="nil"/>
              <w:left w:val="nil"/>
              <w:bottom w:val="single" w:sz="4" w:space="0" w:color="auto"/>
              <w:right w:val="single" w:sz="4" w:space="0" w:color="auto"/>
            </w:tcBorders>
            <w:shd w:val="clear" w:color="auto" w:fill="auto"/>
            <w:noWrap/>
            <w:vAlign w:val="bottom"/>
            <w:hideMark/>
          </w:tcPr>
          <w:p w14:paraId="1038F8B0"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79.7</w:t>
            </w:r>
          </w:p>
        </w:tc>
        <w:tc>
          <w:tcPr>
            <w:tcW w:w="1031" w:type="dxa"/>
            <w:tcBorders>
              <w:top w:val="nil"/>
              <w:left w:val="nil"/>
              <w:bottom w:val="single" w:sz="4" w:space="0" w:color="auto"/>
              <w:right w:val="single" w:sz="4" w:space="0" w:color="auto"/>
            </w:tcBorders>
            <w:shd w:val="clear" w:color="auto" w:fill="auto"/>
            <w:noWrap/>
            <w:vAlign w:val="bottom"/>
            <w:hideMark/>
          </w:tcPr>
          <w:p w14:paraId="74A9324E"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60.0</w:t>
            </w:r>
          </w:p>
        </w:tc>
      </w:tr>
      <w:tr w:rsidR="00EC4CF5" w:rsidRPr="00EC4CF5" w14:paraId="3BB84689"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6B18F330"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Greater Hume Shire</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37367711"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73.3</w:t>
            </w:r>
          </w:p>
        </w:tc>
        <w:tc>
          <w:tcPr>
            <w:tcW w:w="1031" w:type="dxa"/>
            <w:tcBorders>
              <w:top w:val="nil"/>
              <w:left w:val="nil"/>
              <w:bottom w:val="single" w:sz="4" w:space="0" w:color="auto"/>
              <w:right w:val="single" w:sz="4" w:space="0" w:color="auto"/>
            </w:tcBorders>
            <w:shd w:val="clear" w:color="auto" w:fill="auto"/>
            <w:noWrap/>
            <w:vAlign w:val="bottom"/>
            <w:hideMark/>
          </w:tcPr>
          <w:p w14:paraId="3F82A01E"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68.4</w:t>
            </w:r>
          </w:p>
        </w:tc>
        <w:tc>
          <w:tcPr>
            <w:tcW w:w="1031" w:type="dxa"/>
            <w:tcBorders>
              <w:top w:val="nil"/>
              <w:left w:val="nil"/>
              <w:bottom w:val="single" w:sz="4" w:space="0" w:color="auto"/>
              <w:right w:val="single" w:sz="4" w:space="0" w:color="auto"/>
            </w:tcBorders>
            <w:shd w:val="clear" w:color="auto" w:fill="auto"/>
            <w:noWrap/>
            <w:vAlign w:val="bottom"/>
            <w:hideMark/>
          </w:tcPr>
          <w:p w14:paraId="114569AE"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75.0</w:t>
            </w:r>
          </w:p>
        </w:tc>
        <w:tc>
          <w:tcPr>
            <w:tcW w:w="1031" w:type="dxa"/>
            <w:tcBorders>
              <w:top w:val="nil"/>
              <w:left w:val="nil"/>
              <w:bottom w:val="single" w:sz="4" w:space="0" w:color="auto"/>
              <w:right w:val="single" w:sz="4" w:space="0" w:color="auto"/>
            </w:tcBorders>
            <w:shd w:val="clear" w:color="auto" w:fill="auto"/>
            <w:noWrap/>
            <w:vAlign w:val="bottom"/>
            <w:hideMark/>
          </w:tcPr>
          <w:p w14:paraId="2EF3F654"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67.6</w:t>
            </w:r>
          </w:p>
        </w:tc>
        <w:tc>
          <w:tcPr>
            <w:tcW w:w="1031" w:type="dxa"/>
            <w:tcBorders>
              <w:top w:val="nil"/>
              <w:left w:val="nil"/>
              <w:bottom w:val="single" w:sz="4" w:space="0" w:color="auto"/>
              <w:right w:val="single" w:sz="4" w:space="0" w:color="auto"/>
            </w:tcBorders>
            <w:shd w:val="clear" w:color="auto" w:fill="auto"/>
            <w:noWrap/>
            <w:vAlign w:val="bottom"/>
            <w:hideMark/>
          </w:tcPr>
          <w:p w14:paraId="603DBE3E"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74.5</w:t>
            </w:r>
          </w:p>
        </w:tc>
      </w:tr>
      <w:tr w:rsidR="00EC4CF5" w:rsidRPr="00EC4CF5" w14:paraId="695C2155"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2776D2D5"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Griffith</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1482FFC9"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51.4</w:t>
            </w:r>
          </w:p>
        </w:tc>
        <w:tc>
          <w:tcPr>
            <w:tcW w:w="1031" w:type="dxa"/>
            <w:tcBorders>
              <w:top w:val="nil"/>
              <w:left w:val="nil"/>
              <w:bottom w:val="single" w:sz="4" w:space="0" w:color="auto"/>
              <w:right w:val="single" w:sz="4" w:space="0" w:color="auto"/>
            </w:tcBorders>
            <w:shd w:val="clear" w:color="auto" w:fill="auto"/>
            <w:noWrap/>
            <w:vAlign w:val="bottom"/>
            <w:hideMark/>
          </w:tcPr>
          <w:p w14:paraId="009B83A9"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41.3</w:t>
            </w:r>
          </w:p>
        </w:tc>
        <w:tc>
          <w:tcPr>
            <w:tcW w:w="1031" w:type="dxa"/>
            <w:tcBorders>
              <w:top w:val="nil"/>
              <w:left w:val="nil"/>
              <w:bottom w:val="single" w:sz="4" w:space="0" w:color="auto"/>
              <w:right w:val="single" w:sz="4" w:space="0" w:color="auto"/>
            </w:tcBorders>
            <w:shd w:val="clear" w:color="auto" w:fill="auto"/>
            <w:noWrap/>
            <w:vAlign w:val="bottom"/>
            <w:hideMark/>
          </w:tcPr>
          <w:p w14:paraId="6916A25D"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33.8</w:t>
            </w:r>
          </w:p>
        </w:tc>
        <w:tc>
          <w:tcPr>
            <w:tcW w:w="1031" w:type="dxa"/>
            <w:tcBorders>
              <w:top w:val="nil"/>
              <w:left w:val="nil"/>
              <w:bottom w:val="single" w:sz="4" w:space="0" w:color="auto"/>
              <w:right w:val="single" w:sz="4" w:space="0" w:color="auto"/>
            </w:tcBorders>
            <w:shd w:val="clear" w:color="auto" w:fill="auto"/>
            <w:noWrap/>
            <w:vAlign w:val="bottom"/>
            <w:hideMark/>
          </w:tcPr>
          <w:p w14:paraId="245FBDED"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45.7</w:t>
            </w:r>
          </w:p>
        </w:tc>
        <w:tc>
          <w:tcPr>
            <w:tcW w:w="1031" w:type="dxa"/>
            <w:tcBorders>
              <w:top w:val="nil"/>
              <w:left w:val="nil"/>
              <w:bottom w:val="single" w:sz="4" w:space="0" w:color="auto"/>
              <w:right w:val="single" w:sz="4" w:space="0" w:color="auto"/>
            </w:tcBorders>
            <w:shd w:val="clear" w:color="auto" w:fill="auto"/>
            <w:noWrap/>
            <w:vAlign w:val="bottom"/>
            <w:hideMark/>
          </w:tcPr>
          <w:p w14:paraId="080600DF"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25.3</w:t>
            </w:r>
          </w:p>
        </w:tc>
      </w:tr>
      <w:tr w:rsidR="00EC4CF5" w:rsidRPr="00EC4CF5" w14:paraId="53BAEBBD"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0E77AE2C"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Gundagai-Cootamundra</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20617DDE"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68.5</w:t>
            </w:r>
          </w:p>
        </w:tc>
        <w:tc>
          <w:tcPr>
            <w:tcW w:w="1031" w:type="dxa"/>
            <w:tcBorders>
              <w:top w:val="nil"/>
              <w:left w:val="nil"/>
              <w:bottom w:val="single" w:sz="4" w:space="0" w:color="auto"/>
              <w:right w:val="single" w:sz="4" w:space="0" w:color="auto"/>
            </w:tcBorders>
            <w:shd w:val="clear" w:color="auto" w:fill="auto"/>
            <w:noWrap/>
            <w:vAlign w:val="bottom"/>
            <w:hideMark/>
          </w:tcPr>
          <w:p w14:paraId="572663BF"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68.6</w:t>
            </w:r>
          </w:p>
        </w:tc>
        <w:tc>
          <w:tcPr>
            <w:tcW w:w="1031" w:type="dxa"/>
            <w:tcBorders>
              <w:top w:val="nil"/>
              <w:left w:val="nil"/>
              <w:bottom w:val="single" w:sz="4" w:space="0" w:color="auto"/>
              <w:right w:val="single" w:sz="4" w:space="0" w:color="auto"/>
            </w:tcBorders>
            <w:shd w:val="clear" w:color="auto" w:fill="auto"/>
            <w:noWrap/>
            <w:vAlign w:val="bottom"/>
            <w:hideMark/>
          </w:tcPr>
          <w:p w14:paraId="76CD75C4"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75.0</w:t>
            </w:r>
          </w:p>
        </w:tc>
        <w:tc>
          <w:tcPr>
            <w:tcW w:w="1031" w:type="dxa"/>
            <w:tcBorders>
              <w:top w:val="nil"/>
              <w:left w:val="nil"/>
              <w:bottom w:val="single" w:sz="4" w:space="0" w:color="auto"/>
              <w:right w:val="single" w:sz="4" w:space="0" w:color="auto"/>
            </w:tcBorders>
            <w:shd w:val="clear" w:color="auto" w:fill="auto"/>
            <w:noWrap/>
            <w:vAlign w:val="bottom"/>
            <w:hideMark/>
          </w:tcPr>
          <w:p w14:paraId="432BE92C"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89.2</w:t>
            </w:r>
          </w:p>
        </w:tc>
        <w:tc>
          <w:tcPr>
            <w:tcW w:w="1031" w:type="dxa"/>
            <w:tcBorders>
              <w:top w:val="nil"/>
              <w:left w:val="nil"/>
              <w:bottom w:val="single" w:sz="4" w:space="0" w:color="auto"/>
              <w:right w:val="single" w:sz="4" w:space="0" w:color="auto"/>
            </w:tcBorders>
            <w:shd w:val="clear" w:color="auto" w:fill="auto"/>
            <w:noWrap/>
            <w:vAlign w:val="bottom"/>
            <w:hideMark/>
          </w:tcPr>
          <w:p w14:paraId="069D1853"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88.3</w:t>
            </w:r>
          </w:p>
        </w:tc>
      </w:tr>
      <w:tr w:rsidR="00EC4CF5" w:rsidRPr="00EC4CF5" w14:paraId="05B51B15"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44F2855B"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Leeton</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26F2C9C7"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74.4</w:t>
            </w:r>
          </w:p>
        </w:tc>
        <w:tc>
          <w:tcPr>
            <w:tcW w:w="1031" w:type="dxa"/>
            <w:tcBorders>
              <w:top w:val="nil"/>
              <w:left w:val="nil"/>
              <w:bottom w:val="single" w:sz="4" w:space="0" w:color="auto"/>
              <w:right w:val="single" w:sz="4" w:space="0" w:color="auto"/>
            </w:tcBorders>
            <w:shd w:val="clear" w:color="auto" w:fill="auto"/>
            <w:noWrap/>
            <w:vAlign w:val="bottom"/>
            <w:hideMark/>
          </w:tcPr>
          <w:p w14:paraId="4B33A957"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73.6</w:t>
            </w:r>
          </w:p>
        </w:tc>
        <w:tc>
          <w:tcPr>
            <w:tcW w:w="1031" w:type="dxa"/>
            <w:tcBorders>
              <w:top w:val="nil"/>
              <w:left w:val="nil"/>
              <w:bottom w:val="single" w:sz="4" w:space="0" w:color="auto"/>
              <w:right w:val="single" w:sz="4" w:space="0" w:color="auto"/>
            </w:tcBorders>
            <w:shd w:val="clear" w:color="auto" w:fill="auto"/>
            <w:noWrap/>
            <w:vAlign w:val="bottom"/>
            <w:hideMark/>
          </w:tcPr>
          <w:p w14:paraId="17F4447A"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78.0</w:t>
            </w:r>
          </w:p>
        </w:tc>
        <w:tc>
          <w:tcPr>
            <w:tcW w:w="1031" w:type="dxa"/>
            <w:tcBorders>
              <w:top w:val="nil"/>
              <w:left w:val="nil"/>
              <w:bottom w:val="single" w:sz="4" w:space="0" w:color="auto"/>
              <w:right w:val="single" w:sz="4" w:space="0" w:color="auto"/>
            </w:tcBorders>
            <w:shd w:val="clear" w:color="auto" w:fill="auto"/>
            <w:noWrap/>
            <w:vAlign w:val="bottom"/>
            <w:hideMark/>
          </w:tcPr>
          <w:p w14:paraId="10F3B5F2"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66.7</w:t>
            </w:r>
          </w:p>
        </w:tc>
        <w:tc>
          <w:tcPr>
            <w:tcW w:w="1031" w:type="dxa"/>
            <w:tcBorders>
              <w:top w:val="nil"/>
              <w:left w:val="nil"/>
              <w:bottom w:val="single" w:sz="4" w:space="0" w:color="auto"/>
              <w:right w:val="single" w:sz="4" w:space="0" w:color="auto"/>
            </w:tcBorders>
            <w:shd w:val="clear" w:color="auto" w:fill="auto"/>
            <w:noWrap/>
            <w:vAlign w:val="bottom"/>
            <w:hideMark/>
          </w:tcPr>
          <w:p w14:paraId="7097AC2D"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81.4</w:t>
            </w:r>
          </w:p>
        </w:tc>
      </w:tr>
      <w:tr w:rsidR="00EC4CF5" w:rsidRPr="00EC4CF5" w14:paraId="6FBC8A6C"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0FDCBB4A"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Murray River</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2209C460"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53.8</w:t>
            </w:r>
          </w:p>
        </w:tc>
        <w:tc>
          <w:tcPr>
            <w:tcW w:w="1031" w:type="dxa"/>
            <w:tcBorders>
              <w:top w:val="nil"/>
              <w:left w:val="nil"/>
              <w:bottom w:val="single" w:sz="4" w:space="0" w:color="auto"/>
              <w:right w:val="single" w:sz="4" w:space="0" w:color="auto"/>
            </w:tcBorders>
            <w:shd w:val="clear" w:color="auto" w:fill="auto"/>
            <w:noWrap/>
            <w:vAlign w:val="bottom"/>
            <w:hideMark/>
          </w:tcPr>
          <w:p w14:paraId="6BBF5D15"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55.9</w:t>
            </w:r>
          </w:p>
        </w:tc>
        <w:tc>
          <w:tcPr>
            <w:tcW w:w="1031" w:type="dxa"/>
            <w:tcBorders>
              <w:top w:val="nil"/>
              <w:left w:val="nil"/>
              <w:bottom w:val="single" w:sz="4" w:space="0" w:color="auto"/>
              <w:right w:val="single" w:sz="4" w:space="0" w:color="auto"/>
            </w:tcBorders>
            <w:shd w:val="clear" w:color="auto" w:fill="auto"/>
            <w:noWrap/>
            <w:vAlign w:val="bottom"/>
            <w:hideMark/>
          </w:tcPr>
          <w:p w14:paraId="2762D00A"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31.0</w:t>
            </w:r>
          </w:p>
        </w:tc>
        <w:tc>
          <w:tcPr>
            <w:tcW w:w="1031" w:type="dxa"/>
            <w:tcBorders>
              <w:top w:val="nil"/>
              <w:left w:val="nil"/>
              <w:bottom w:val="single" w:sz="4" w:space="0" w:color="auto"/>
              <w:right w:val="single" w:sz="4" w:space="0" w:color="auto"/>
            </w:tcBorders>
            <w:shd w:val="clear" w:color="auto" w:fill="auto"/>
            <w:noWrap/>
            <w:vAlign w:val="bottom"/>
            <w:hideMark/>
          </w:tcPr>
          <w:p w14:paraId="14D3C835"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40.0</w:t>
            </w:r>
          </w:p>
        </w:tc>
        <w:tc>
          <w:tcPr>
            <w:tcW w:w="1031" w:type="dxa"/>
            <w:tcBorders>
              <w:top w:val="nil"/>
              <w:left w:val="nil"/>
              <w:bottom w:val="single" w:sz="4" w:space="0" w:color="auto"/>
              <w:right w:val="single" w:sz="4" w:space="0" w:color="auto"/>
            </w:tcBorders>
            <w:shd w:val="clear" w:color="auto" w:fill="auto"/>
            <w:noWrap/>
            <w:vAlign w:val="bottom"/>
            <w:hideMark/>
          </w:tcPr>
          <w:p w14:paraId="1BB4520D"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54.4</w:t>
            </w:r>
          </w:p>
        </w:tc>
      </w:tr>
      <w:tr w:rsidR="00EC4CF5" w:rsidRPr="00EC4CF5" w14:paraId="0EF389AE"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2F1738F0"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Snowy Valleys Council</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28F011A7"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67.6</w:t>
            </w:r>
          </w:p>
        </w:tc>
        <w:tc>
          <w:tcPr>
            <w:tcW w:w="1031" w:type="dxa"/>
            <w:tcBorders>
              <w:top w:val="nil"/>
              <w:left w:val="nil"/>
              <w:bottom w:val="single" w:sz="4" w:space="0" w:color="auto"/>
              <w:right w:val="single" w:sz="4" w:space="0" w:color="auto"/>
            </w:tcBorders>
            <w:shd w:val="clear" w:color="auto" w:fill="auto"/>
            <w:noWrap/>
            <w:vAlign w:val="bottom"/>
            <w:hideMark/>
          </w:tcPr>
          <w:p w14:paraId="1CE1EB91"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74.3</w:t>
            </w:r>
          </w:p>
        </w:tc>
        <w:tc>
          <w:tcPr>
            <w:tcW w:w="1031" w:type="dxa"/>
            <w:tcBorders>
              <w:top w:val="nil"/>
              <w:left w:val="nil"/>
              <w:bottom w:val="single" w:sz="4" w:space="0" w:color="auto"/>
              <w:right w:val="single" w:sz="4" w:space="0" w:color="auto"/>
            </w:tcBorders>
            <w:shd w:val="clear" w:color="auto" w:fill="auto"/>
            <w:noWrap/>
            <w:vAlign w:val="bottom"/>
            <w:hideMark/>
          </w:tcPr>
          <w:p w14:paraId="2216E07C"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74.2</w:t>
            </w:r>
          </w:p>
        </w:tc>
        <w:tc>
          <w:tcPr>
            <w:tcW w:w="1031" w:type="dxa"/>
            <w:tcBorders>
              <w:top w:val="nil"/>
              <w:left w:val="nil"/>
              <w:bottom w:val="single" w:sz="4" w:space="0" w:color="auto"/>
              <w:right w:val="single" w:sz="4" w:space="0" w:color="auto"/>
            </w:tcBorders>
            <w:shd w:val="clear" w:color="auto" w:fill="auto"/>
            <w:noWrap/>
            <w:vAlign w:val="bottom"/>
            <w:hideMark/>
          </w:tcPr>
          <w:p w14:paraId="62AEC179"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78.3</w:t>
            </w:r>
          </w:p>
        </w:tc>
        <w:tc>
          <w:tcPr>
            <w:tcW w:w="1031" w:type="dxa"/>
            <w:tcBorders>
              <w:top w:val="nil"/>
              <w:left w:val="nil"/>
              <w:bottom w:val="single" w:sz="4" w:space="0" w:color="auto"/>
              <w:right w:val="single" w:sz="4" w:space="0" w:color="auto"/>
            </w:tcBorders>
            <w:shd w:val="clear" w:color="auto" w:fill="auto"/>
            <w:noWrap/>
            <w:vAlign w:val="bottom"/>
            <w:hideMark/>
          </w:tcPr>
          <w:p w14:paraId="65412349"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81.8</w:t>
            </w:r>
          </w:p>
        </w:tc>
      </w:tr>
      <w:tr w:rsidR="00EC4CF5" w:rsidRPr="00EC4CF5" w14:paraId="31ED789F"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vAlign w:val="bottom"/>
            <w:hideMark/>
          </w:tcPr>
          <w:p w14:paraId="2FF589BD" w14:textId="77777777" w:rsidR="00EC4CF5" w:rsidRPr="00EC4CF5" w:rsidRDefault="00EC4CF5" w:rsidP="00EC4CF5">
            <w:pPr>
              <w:spacing w:before="0" w:after="0"/>
              <w:rPr>
                <w:rFonts w:ascii="Calibri" w:hAnsi="Calibri"/>
                <w:color w:val="000000"/>
                <w:sz w:val="22"/>
                <w:szCs w:val="22"/>
              </w:rPr>
            </w:pPr>
            <w:r w:rsidRPr="00EC4CF5">
              <w:rPr>
                <w:rFonts w:ascii="Calibri" w:hAnsi="Calibri"/>
                <w:color w:val="000000"/>
                <w:sz w:val="22"/>
                <w:szCs w:val="22"/>
              </w:rPr>
              <w:t>Wagga Wagga</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79B1F3F8"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37.4</w:t>
            </w:r>
          </w:p>
        </w:tc>
        <w:tc>
          <w:tcPr>
            <w:tcW w:w="1031" w:type="dxa"/>
            <w:tcBorders>
              <w:top w:val="nil"/>
              <w:left w:val="nil"/>
              <w:bottom w:val="single" w:sz="4" w:space="0" w:color="auto"/>
              <w:right w:val="single" w:sz="4" w:space="0" w:color="auto"/>
            </w:tcBorders>
            <w:shd w:val="clear" w:color="auto" w:fill="auto"/>
            <w:noWrap/>
            <w:vAlign w:val="bottom"/>
            <w:hideMark/>
          </w:tcPr>
          <w:p w14:paraId="3AE968E8"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41.0</w:t>
            </w:r>
          </w:p>
        </w:tc>
        <w:tc>
          <w:tcPr>
            <w:tcW w:w="1031" w:type="dxa"/>
            <w:tcBorders>
              <w:top w:val="nil"/>
              <w:left w:val="nil"/>
              <w:bottom w:val="single" w:sz="4" w:space="0" w:color="auto"/>
              <w:right w:val="single" w:sz="4" w:space="0" w:color="auto"/>
            </w:tcBorders>
            <w:shd w:val="clear" w:color="auto" w:fill="auto"/>
            <w:noWrap/>
            <w:vAlign w:val="bottom"/>
            <w:hideMark/>
          </w:tcPr>
          <w:p w14:paraId="276A50D8"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38.2</w:t>
            </w:r>
          </w:p>
        </w:tc>
        <w:tc>
          <w:tcPr>
            <w:tcW w:w="1031" w:type="dxa"/>
            <w:tcBorders>
              <w:top w:val="nil"/>
              <w:left w:val="nil"/>
              <w:bottom w:val="single" w:sz="4" w:space="0" w:color="auto"/>
              <w:right w:val="single" w:sz="4" w:space="0" w:color="auto"/>
            </w:tcBorders>
            <w:shd w:val="clear" w:color="auto" w:fill="auto"/>
            <w:noWrap/>
            <w:vAlign w:val="bottom"/>
            <w:hideMark/>
          </w:tcPr>
          <w:p w14:paraId="34AC29AA"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50.4</w:t>
            </w:r>
          </w:p>
        </w:tc>
        <w:tc>
          <w:tcPr>
            <w:tcW w:w="1031" w:type="dxa"/>
            <w:tcBorders>
              <w:top w:val="nil"/>
              <w:left w:val="nil"/>
              <w:bottom w:val="single" w:sz="4" w:space="0" w:color="auto"/>
              <w:right w:val="single" w:sz="4" w:space="0" w:color="auto"/>
            </w:tcBorders>
            <w:shd w:val="clear" w:color="auto" w:fill="auto"/>
            <w:noWrap/>
            <w:vAlign w:val="bottom"/>
            <w:hideMark/>
          </w:tcPr>
          <w:p w14:paraId="4BC72544"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52.8</w:t>
            </w:r>
          </w:p>
        </w:tc>
      </w:tr>
      <w:tr w:rsidR="00EC4CF5" w:rsidRPr="00EC4CF5" w14:paraId="6535DBBF" w14:textId="77777777" w:rsidTr="00EC4CF5">
        <w:trPr>
          <w:trHeight w:val="327"/>
        </w:trPr>
        <w:tc>
          <w:tcPr>
            <w:tcW w:w="2964" w:type="dxa"/>
            <w:tcBorders>
              <w:top w:val="nil"/>
              <w:left w:val="single" w:sz="4" w:space="0" w:color="auto"/>
              <w:bottom w:val="single" w:sz="4" w:space="0" w:color="auto"/>
              <w:right w:val="single" w:sz="4" w:space="0" w:color="auto"/>
            </w:tcBorders>
            <w:shd w:val="clear" w:color="auto" w:fill="auto"/>
            <w:noWrap/>
            <w:vAlign w:val="bottom"/>
            <w:hideMark/>
          </w:tcPr>
          <w:p w14:paraId="7E393A35" w14:textId="77777777" w:rsidR="00EC4CF5" w:rsidRPr="00EC4CF5" w:rsidRDefault="00EC4CF5" w:rsidP="00EC4CF5">
            <w:pPr>
              <w:spacing w:before="0" w:after="0"/>
              <w:rPr>
                <w:rFonts w:ascii="Calibri" w:hAnsi="Calibri"/>
                <w:b/>
                <w:bCs/>
                <w:color w:val="000000"/>
                <w:sz w:val="22"/>
                <w:szCs w:val="22"/>
              </w:rPr>
            </w:pPr>
            <w:r w:rsidRPr="00EC4CF5">
              <w:rPr>
                <w:rFonts w:ascii="Calibri" w:hAnsi="Calibri"/>
                <w:b/>
                <w:bCs/>
                <w:color w:val="000000"/>
                <w:sz w:val="22"/>
                <w:szCs w:val="22"/>
              </w:rPr>
              <w:t>Rest of NSW</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747B0A46"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24.7</w:t>
            </w:r>
          </w:p>
        </w:tc>
        <w:tc>
          <w:tcPr>
            <w:tcW w:w="1031" w:type="dxa"/>
            <w:tcBorders>
              <w:top w:val="nil"/>
              <w:left w:val="nil"/>
              <w:bottom w:val="single" w:sz="4" w:space="0" w:color="auto"/>
              <w:right w:val="single" w:sz="4" w:space="0" w:color="auto"/>
            </w:tcBorders>
            <w:shd w:val="clear" w:color="auto" w:fill="auto"/>
            <w:noWrap/>
            <w:vAlign w:val="bottom"/>
            <w:hideMark/>
          </w:tcPr>
          <w:p w14:paraId="2F46058F"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21.9</w:t>
            </w:r>
          </w:p>
        </w:tc>
        <w:tc>
          <w:tcPr>
            <w:tcW w:w="1031" w:type="dxa"/>
            <w:tcBorders>
              <w:top w:val="nil"/>
              <w:left w:val="nil"/>
              <w:bottom w:val="single" w:sz="4" w:space="0" w:color="auto"/>
              <w:right w:val="single" w:sz="4" w:space="0" w:color="auto"/>
            </w:tcBorders>
            <w:shd w:val="clear" w:color="auto" w:fill="auto"/>
            <w:noWrap/>
            <w:vAlign w:val="bottom"/>
            <w:hideMark/>
          </w:tcPr>
          <w:p w14:paraId="2C50089B"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22.5</w:t>
            </w:r>
          </w:p>
        </w:tc>
        <w:tc>
          <w:tcPr>
            <w:tcW w:w="1031" w:type="dxa"/>
            <w:tcBorders>
              <w:top w:val="nil"/>
              <w:left w:val="nil"/>
              <w:bottom w:val="single" w:sz="4" w:space="0" w:color="auto"/>
              <w:right w:val="single" w:sz="4" w:space="0" w:color="auto"/>
            </w:tcBorders>
            <w:shd w:val="clear" w:color="auto" w:fill="auto"/>
            <w:noWrap/>
            <w:vAlign w:val="bottom"/>
            <w:hideMark/>
          </w:tcPr>
          <w:p w14:paraId="1566EAFE"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28.0</w:t>
            </w:r>
          </w:p>
        </w:tc>
        <w:tc>
          <w:tcPr>
            <w:tcW w:w="1031" w:type="dxa"/>
            <w:tcBorders>
              <w:top w:val="nil"/>
              <w:left w:val="nil"/>
              <w:bottom w:val="single" w:sz="4" w:space="0" w:color="auto"/>
              <w:right w:val="single" w:sz="4" w:space="0" w:color="auto"/>
            </w:tcBorders>
            <w:shd w:val="clear" w:color="auto" w:fill="auto"/>
            <w:noWrap/>
            <w:vAlign w:val="bottom"/>
            <w:hideMark/>
          </w:tcPr>
          <w:p w14:paraId="2851CD18" w14:textId="77777777" w:rsidR="00EC4CF5" w:rsidRPr="00EC4CF5" w:rsidRDefault="00EC4CF5" w:rsidP="00EC4CF5">
            <w:pPr>
              <w:spacing w:before="0" w:after="0"/>
              <w:jc w:val="right"/>
              <w:rPr>
                <w:rFonts w:ascii="Calibri" w:hAnsi="Calibri"/>
                <w:color w:val="000000"/>
                <w:sz w:val="22"/>
                <w:szCs w:val="22"/>
              </w:rPr>
            </w:pPr>
            <w:r w:rsidRPr="00EC4CF5">
              <w:rPr>
                <w:rFonts w:ascii="Calibri" w:hAnsi="Calibri"/>
                <w:color w:val="000000"/>
                <w:sz w:val="22"/>
                <w:szCs w:val="22"/>
              </w:rPr>
              <w:t>23.8</w:t>
            </w:r>
          </w:p>
        </w:tc>
      </w:tr>
    </w:tbl>
    <w:p w14:paraId="5E3C19E8" w14:textId="62600556" w:rsidR="00FB3477" w:rsidRDefault="00FB3477" w:rsidP="00FB3477">
      <w:pPr>
        <w:spacing w:before="0" w:after="0"/>
        <w:rPr>
          <w:sz w:val="22"/>
          <w:szCs w:val="22"/>
        </w:rPr>
      </w:pPr>
    </w:p>
    <w:p w14:paraId="18B9913B" w14:textId="77777777" w:rsidR="00D44643" w:rsidRDefault="00D44643" w:rsidP="00FB3477">
      <w:pPr>
        <w:spacing w:before="0" w:after="0"/>
        <w:rPr>
          <w:sz w:val="22"/>
          <w:szCs w:val="22"/>
        </w:rPr>
      </w:pPr>
    </w:p>
    <w:p w14:paraId="42BACC39" w14:textId="77777777" w:rsidR="009D2867" w:rsidRPr="00334FA2" w:rsidRDefault="009D2867" w:rsidP="009D2867">
      <w:pPr>
        <w:rPr>
          <w:b/>
          <w:color w:val="008000"/>
          <w:sz w:val="32"/>
        </w:rPr>
      </w:pPr>
      <w:r w:rsidRPr="00334FA2">
        <w:rPr>
          <w:b/>
          <w:color w:val="008000"/>
          <w:sz w:val="32"/>
        </w:rPr>
        <w:t xml:space="preserve">Purchase Stress </w:t>
      </w:r>
    </w:p>
    <w:p w14:paraId="1339729D" w14:textId="77777777" w:rsidR="00BC779C" w:rsidRDefault="00361E84" w:rsidP="009D2867">
      <w:pPr>
        <w:numPr>
          <w:ilvl w:val="0"/>
          <w:numId w:val="27"/>
        </w:numPr>
        <w:spacing w:before="0" w:after="0"/>
        <w:rPr>
          <w:sz w:val="22"/>
          <w:szCs w:val="22"/>
        </w:rPr>
      </w:pPr>
      <w:r>
        <w:rPr>
          <w:sz w:val="22"/>
          <w:szCs w:val="22"/>
        </w:rPr>
        <w:t xml:space="preserve">In 2021 there were </w:t>
      </w:r>
      <w:r w:rsidR="00E57887">
        <w:rPr>
          <w:sz w:val="22"/>
          <w:szCs w:val="22"/>
        </w:rPr>
        <w:t>1,968</w:t>
      </w:r>
      <w:r>
        <w:rPr>
          <w:sz w:val="22"/>
          <w:szCs w:val="22"/>
        </w:rPr>
        <w:t xml:space="preserve"> very low and low income purchasers in housing stress across the Riverina Murray, representing 36.5% of all very low and low income purchasers in the region.  This is a lower proportion than the Rest of NSW average of 43.9%.</w:t>
      </w:r>
    </w:p>
    <w:p w14:paraId="1DEEA497" w14:textId="77777777" w:rsidR="00361E84" w:rsidRDefault="00361E84" w:rsidP="009D2867">
      <w:pPr>
        <w:numPr>
          <w:ilvl w:val="0"/>
          <w:numId w:val="27"/>
        </w:numPr>
        <w:spacing w:before="0" w:after="0"/>
        <w:rPr>
          <w:sz w:val="22"/>
          <w:szCs w:val="22"/>
        </w:rPr>
      </w:pPr>
      <w:r>
        <w:rPr>
          <w:sz w:val="22"/>
          <w:szCs w:val="22"/>
        </w:rPr>
        <w:lastRenderedPageBreak/>
        <w:t>Murray River had the highest proportion with 42.0%, closely followed by Wagga Wagga with 41.1%, Griffith with 40.9% and Albury with 40.1%.</w:t>
      </w:r>
    </w:p>
    <w:p w14:paraId="672CE721" w14:textId="77777777" w:rsidR="00361E84" w:rsidRDefault="00361E84" w:rsidP="009D2867">
      <w:pPr>
        <w:numPr>
          <w:ilvl w:val="0"/>
          <w:numId w:val="27"/>
        </w:numPr>
        <w:spacing w:before="0" w:after="0"/>
        <w:rPr>
          <w:sz w:val="22"/>
          <w:szCs w:val="22"/>
        </w:rPr>
      </w:pPr>
      <w:r>
        <w:rPr>
          <w:sz w:val="22"/>
          <w:szCs w:val="22"/>
        </w:rPr>
        <w:t xml:space="preserve">Albury </w:t>
      </w:r>
      <w:r w:rsidR="00654034">
        <w:rPr>
          <w:sz w:val="22"/>
          <w:szCs w:val="22"/>
        </w:rPr>
        <w:t xml:space="preserve">and Wagga Wagga </w:t>
      </w:r>
      <w:r>
        <w:rPr>
          <w:sz w:val="22"/>
          <w:szCs w:val="22"/>
        </w:rPr>
        <w:t>had the highest number in stress</w:t>
      </w:r>
      <w:r w:rsidR="00654034">
        <w:rPr>
          <w:sz w:val="22"/>
          <w:szCs w:val="22"/>
        </w:rPr>
        <w:t xml:space="preserve">, both </w:t>
      </w:r>
      <w:r>
        <w:rPr>
          <w:sz w:val="22"/>
          <w:szCs w:val="22"/>
        </w:rPr>
        <w:t xml:space="preserve">with </w:t>
      </w:r>
      <w:r w:rsidR="00654034">
        <w:rPr>
          <w:sz w:val="22"/>
          <w:szCs w:val="22"/>
        </w:rPr>
        <w:t>355</w:t>
      </w:r>
      <w:r w:rsidR="002D4483">
        <w:rPr>
          <w:sz w:val="22"/>
          <w:szCs w:val="22"/>
        </w:rPr>
        <w:t>,</w:t>
      </w:r>
      <w:r>
        <w:rPr>
          <w:sz w:val="22"/>
          <w:szCs w:val="22"/>
        </w:rPr>
        <w:t xml:space="preserve"> followed by </w:t>
      </w:r>
      <w:r w:rsidR="00654034">
        <w:rPr>
          <w:sz w:val="22"/>
          <w:szCs w:val="22"/>
        </w:rPr>
        <w:t>Griffith with 135</w:t>
      </w:r>
      <w:r>
        <w:rPr>
          <w:sz w:val="22"/>
          <w:szCs w:val="22"/>
        </w:rPr>
        <w:t>.</w:t>
      </w:r>
    </w:p>
    <w:p w14:paraId="40ABD89F" w14:textId="77777777" w:rsidR="00616F55" w:rsidRDefault="00616F55" w:rsidP="00616F55">
      <w:pPr>
        <w:spacing w:before="0" w:after="0"/>
        <w:rPr>
          <w:sz w:val="22"/>
          <w:szCs w:val="22"/>
        </w:rPr>
      </w:pPr>
    </w:p>
    <w:p w14:paraId="1BA21A5D" w14:textId="77777777" w:rsidR="00616F55" w:rsidRDefault="00616F55" w:rsidP="00616F55">
      <w:pPr>
        <w:spacing w:before="0" w:after="0"/>
        <w:rPr>
          <w:sz w:val="22"/>
          <w:szCs w:val="22"/>
        </w:rPr>
      </w:pPr>
    </w:p>
    <w:p w14:paraId="34DA2A04" w14:textId="77777777" w:rsidR="00616F55" w:rsidRDefault="00616F55" w:rsidP="00616F55">
      <w:pPr>
        <w:spacing w:before="0" w:after="0"/>
        <w:rPr>
          <w:sz w:val="22"/>
          <w:szCs w:val="22"/>
        </w:rPr>
      </w:pPr>
      <w:r>
        <w:rPr>
          <w:sz w:val="22"/>
          <w:szCs w:val="22"/>
        </w:rPr>
        <w:t>Proportion of very low and low income purchasers in stress at 2021</w:t>
      </w:r>
    </w:p>
    <w:p w14:paraId="308AB931" w14:textId="77777777" w:rsidR="00616F55" w:rsidRDefault="00616F55" w:rsidP="00616F55">
      <w:pPr>
        <w:spacing w:before="0" w:after="0"/>
        <w:rPr>
          <w:sz w:val="22"/>
          <w:szCs w:val="22"/>
        </w:rPr>
      </w:pPr>
      <w:r w:rsidRPr="00616F55">
        <w:rPr>
          <w:noProof/>
        </w:rPr>
        <w:drawing>
          <wp:inline distT="0" distB="0" distL="0" distR="0" wp14:anchorId="6F7CAF5C" wp14:editId="1D6049BF">
            <wp:extent cx="5961413" cy="4240411"/>
            <wp:effectExtent l="0" t="0" r="127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1368" cy="4247492"/>
                    </a:xfrm>
                    <a:prstGeom prst="rect">
                      <a:avLst/>
                    </a:prstGeom>
                    <a:noFill/>
                    <a:ln>
                      <a:noFill/>
                    </a:ln>
                  </pic:spPr>
                </pic:pic>
              </a:graphicData>
            </a:graphic>
          </wp:inline>
        </w:drawing>
      </w:r>
    </w:p>
    <w:p w14:paraId="54EF4931" w14:textId="77777777" w:rsidR="00BC779C" w:rsidRDefault="00BC779C" w:rsidP="00616F55">
      <w:pPr>
        <w:spacing w:before="0" w:after="0"/>
        <w:rPr>
          <w:sz w:val="22"/>
          <w:szCs w:val="22"/>
        </w:rPr>
      </w:pPr>
    </w:p>
    <w:p w14:paraId="7AD7C612" w14:textId="77777777" w:rsidR="00BC779C" w:rsidRDefault="00616F55" w:rsidP="009D2867">
      <w:pPr>
        <w:numPr>
          <w:ilvl w:val="0"/>
          <w:numId w:val="27"/>
        </w:numPr>
        <w:spacing w:before="0" w:after="0"/>
        <w:rPr>
          <w:sz w:val="22"/>
          <w:szCs w:val="22"/>
        </w:rPr>
      </w:pPr>
      <w:r>
        <w:rPr>
          <w:sz w:val="22"/>
          <w:szCs w:val="22"/>
        </w:rPr>
        <w:t>However the number of very low and low income purchasers in stress is significantly lower than the number of very low and low income renters in stress in the region, as the graph below demonstrates.</w:t>
      </w:r>
    </w:p>
    <w:p w14:paraId="42D6A89C" w14:textId="77777777" w:rsidR="00616F55" w:rsidRDefault="00616F55" w:rsidP="00616F55">
      <w:pPr>
        <w:spacing w:before="0" w:after="0"/>
        <w:rPr>
          <w:sz w:val="22"/>
          <w:szCs w:val="22"/>
        </w:rPr>
      </w:pPr>
    </w:p>
    <w:p w14:paraId="400F3D1E" w14:textId="77777777" w:rsidR="009D2867" w:rsidRDefault="00616F55" w:rsidP="00735026">
      <w:pPr>
        <w:spacing w:before="0" w:after="0"/>
        <w:rPr>
          <w:sz w:val="22"/>
          <w:szCs w:val="22"/>
        </w:rPr>
      </w:pPr>
      <w:r>
        <w:rPr>
          <w:noProof/>
          <w:sz w:val="22"/>
          <w:szCs w:val="22"/>
        </w:rPr>
        <w:lastRenderedPageBreak/>
        <w:drawing>
          <wp:inline distT="0" distB="0" distL="0" distR="0" wp14:anchorId="11F9D877" wp14:editId="38F209EC">
            <wp:extent cx="6115033" cy="3251286"/>
            <wp:effectExtent l="0" t="0" r="63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917" cy="3256541"/>
                    </a:xfrm>
                    <a:prstGeom prst="rect">
                      <a:avLst/>
                    </a:prstGeom>
                    <a:noFill/>
                  </pic:spPr>
                </pic:pic>
              </a:graphicData>
            </a:graphic>
          </wp:inline>
        </w:drawing>
      </w:r>
    </w:p>
    <w:p w14:paraId="23A87693" w14:textId="77777777" w:rsidR="00735026" w:rsidRDefault="00735026" w:rsidP="00735026">
      <w:pPr>
        <w:spacing w:before="0" w:after="0"/>
        <w:rPr>
          <w:sz w:val="22"/>
          <w:szCs w:val="22"/>
        </w:rPr>
      </w:pPr>
    </w:p>
    <w:p w14:paraId="0AF25190" w14:textId="77777777" w:rsidR="009D2867" w:rsidRDefault="009D2867" w:rsidP="009D2867">
      <w:pPr>
        <w:rPr>
          <w:b/>
          <w:color w:val="008000"/>
          <w:sz w:val="32"/>
        </w:rPr>
      </w:pPr>
    </w:p>
    <w:p w14:paraId="0D2FBE15" w14:textId="77777777" w:rsidR="009D2867" w:rsidRPr="00334FA2" w:rsidRDefault="009D2867" w:rsidP="009D2867">
      <w:pPr>
        <w:rPr>
          <w:b/>
          <w:color w:val="008000"/>
          <w:sz w:val="32"/>
        </w:rPr>
      </w:pPr>
      <w:r w:rsidRPr="00334FA2">
        <w:rPr>
          <w:b/>
          <w:color w:val="008000"/>
          <w:sz w:val="32"/>
        </w:rPr>
        <w:t>Additional Data</w:t>
      </w:r>
    </w:p>
    <w:p w14:paraId="22BB466F" w14:textId="77777777" w:rsidR="00E1092E" w:rsidRPr="00EC3534" w:rsidRDefault="00E1092E" w:rsidP="00E1092E">
      <w:pPr>
        <w:jc w:val="both"/>
        <w:rPr>
          <w:sz w:val="22"/>
          <w:szCs w:val="22"/>
        </w:rPr>
      </w:pPr>
      <w:r w:rsidRPr="00EC3534">
        <w:rPr>
          <w:sz w:val="22"/>
          <w:szCs w:val="22"/>
        </w:rPr>
        <w:t xml:space="preserve">Additional data on rents and sale prices, including both current and historical data, is available from the Rent and Sales </w:t>
      </w:r>
      <w:r>
        <w:rPr>
          <w:sz w:val="22"/>
          <w:szCs w:val="22"/>
        </w:rPr>
        <w:t>Report and the interactive Dashboard</w:t>
      </w:r>
      <w:r w:rsidRPr="00EC3534">
        <w:rPr>
          <w:sz w:val="22"/>
          <w:szCs w:val="22"/>
        </w:rPr>
        <w:t xml:space="preserve"> on the Housing NSW website at:</w:t>
      </w:r>
    </w:p>
    <w:p w14:paraId="0589E632" w14:textId="77777777" w:rsidR="00E1092E" w:rsidRDefault="00E07FCB" w:rsidP="00E1092E">
      <w:pPr>
        <w:jc w:val="both"/>
        <w:rPr>
          <w:sz w:val="22"/>
          <w:szCs w:val="22"/>
        </w:rPr>
      </w:pPr>
      <w:hyperlink r:id="rId31" w:history="1">
        <w:r w:rsidR="00E1092E" w:rsidRPr="004D0CC5">
          <w:rPr>
            <w:rStyle w:val="Hyperlink"/>
            <w:sz w:val="22"/>
            <w:szCs w:val="22"/>
          </w:rPr>
          <w:t>https://www.facs.nsw.gov.au/resources/statistics/rent-and-sales/dashboard</w:t>
        </w:r>
      </w:hyperlink>
    </w:p>
    <w:p w14:paraId="1650C5C9" w14:textId="77777777" w:rsidR="00E1092E" w:rsidRPr="00EC3534" w:rsidRDefault="00E1092E" w:rsidP="00E1092E">
      <w:pPr>
        <w:jc w:val="both"/>
        <w:rPr>
          <w:sz w:val="22"/>
          <w:szCs w:val="22"/>
        </w:rPr>
      </w:pPr>
      <w:r w:rsidRPr="00EC3534">
        <w:rPr>
          <w:sz w:val="22"/>
          <w:szCs w:val="22"/>
        </w:rPr>
        <w:t>More detailed housing data and tables used in this Snapshot are available from the Local Government Housing Kit Database on the Housing NSW website at:</w:t>
      </w:r>
    </w:p>
    <w:p w14:paraId="33C07DA5" w14:textId="77777777" w:rsidR="00E1092E" w:rsidRDefault="00E07FCB" w:rsidP="00E1092E">
      <w:pPr>
        <w:jc w:val="both"/>
        <w:rPr>
          <w:sz w:val="22"/>
          <w:szCs w:val="22"/>
        </w:rPr>
      </w:pPr>
      <w:hyperlink r:id="rId32" w:history="1">
        <w:r w:rsidR="00E1092E" w:rsidRPr="004D0CC5">
          <w:rPr>
            <w:rStyle w:val="Hyperlink"/>
            <w:sz w:val="22"/>
            <w:szCs w:val="22"/>
          </w:rPr>
          <w:t>https://www.facs.nsw.gov.au/resources/nsw-local-government-housing-kit/chapters/local-government-housing-kit-database</w:t>
        </w:r>
      </w:hyperlink>
    </w:p>
    <w:p w14:paraId="7AA103AC" w14:textId="77777777" w:rsidR="00E1092E" w:rsidRDefault="00E1092E" w:rsidP="00E1092E">
      <w:pPr>
        <w:jc w:val="both"/>
        <w:rPr>
          <w:sz w:val="22"/>
          <w:szCs w:val="22"/>
        </w:rPr>
      </w:pPr>
      <w:r w:rsidRPr="00EC3534">
        <w:rPr>
          <w:sz w:val="22"/>
          <w:szCs w:val="22"/>
        </w:rPr>
        <w:t>More information on vacancy rates is available from the Real Estate Institute of NSW website:</w:t>
      </w:r>
    </w:p>
    <w:p w14:paraId="0E16CA6F" w14:textId="77777777" w:rsidR="00E1092E" w:rsidRDefault="00E07FCB" w:rsidP="00E1092E">
      <w:pPr>
        <w:jc w:val="both"/>
        <w:rPr>
          <w:sz w:val="22"/>
          <w:szCs w:val="22"/>
        </w:rPr>
      </w:pPr>
      <w:hyperlink r:id="rId33" w:history="1">
        <w:r w:rsidR="00E1092E" w:rsidRPr="004D0CC5">
          <w:rPr>
            <w:rStyle w:val="Hyperlink"/>
            <w:sz w:val="22"/>
            <w:szCs w:val="22"/>
          </w:rPr>
          <w:t>https://www.reinsw.com.au/Web/Web/Members/Property_data/Vacancy_Rates_Survey.aspx</w:t>
        </w:r>
      </w:hyperlink>
    </w:p>
    <w:p w14:paraId="1B60BC00" w14:textId="77777777" w:rsidR="00E1092E" w:rsidRDefault="00E1092E" w:rsidP="00E1092E">
      <w:pPr>
        <w:rPr>
          <w:sz w:val="22"/>
          <w:szCs w:val="22"/>
        </w:rPr>
      </w:pPr>
      <w:r>
        <w:rPr>
          <w:sz w:val="22"/>
          <w:szCs w:val="22"/>
        </w:rPr>
        <w:t>The Rental Affordability Index is at</w:t>
      </w:r>
    </w:p>
    <w:p w14:paraId="6918FDE6" w14:textId="77777777" w:rsidR="00E1092E" w:rsidRDefault="00E07FCB" w:rsidP="00E1092E">
      <w:pPr>
        <w:rPr>
          <w:sz w:val="22"/>
          <w:szCs w:val="22"/>
        </w:rPr>
      </w:pPr>
      <w:hyperlink r:id="rId34" w:history="1">
        <w:r w:rsidR="00E1092E" w:rsidRPr="00581F7A">
          <w:rPr>
            <w:rStyle w:val="Hyperlink"/>
            <w:sz w:val="22"/>
            <w:szCs w:val="22"/>
          </w:rPr>
          <w:t>https://sgsep.com.au/projects/rental-affordability-index</w:t>
        </w:r>
      </w:hyperlink>
    </w:p>
    <w:p w14:paraId="217B566B" w14:textId="77777777" w:rsidR="009D2867" w:rsidRPr="00E1287E" w:rsidRDefault="009D2867" w:rsidP="009D2867">
      <w:pPr>
        <w:rPr>
          <w:sz w:val="22"/>
          <w:szCs w:val="22"/>
        </w:rPr>
      </w:pPr>
    </w:p>
    <w:p w14:paraId="13AEF960" w14:textId="77777777" w:rsidR="009D2867" w:rsidRDefault="009D2867" w:rsidP="009D2867">
      <w:pPr>
        <w:rPr>
          <w:sz w:val="20"/>
          <w:szCs w:val="20"/>
        </w:rPr>
      </w:pPr>
    </w:p>
    <w:p w14:paraId="3AA19BB0" w14:textId="77777777" w:rsidR="009D2867" w:rsidRPr="00CE3DDD" w:rsidRDefault="009D2867" w:rsidP="00555F5C">
      <w:pPr>
        <w:rPr>
          <w:color w:val="008000"/>
          <w:sz w:val="32"/>
        </w:rPr>
      </w:pPr>
    </w:p>
    <w:sectPr w:rsidR="009D2867" w:rsidRPr="00CE3DDD" w:rsidSect="00BB657B">
      <w:headerReference w:type="default" r:id="rId35"/>
      <w:footerReference w:type="default" r:id="rId36"/>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AE11" w14:textId="77777777" w:rsidR="00564A6D" w:rsidRDefault="00564A6D">
      <w:r>
        <w:separator/>
      </w:r>
    </w:p>
  </w:endnote>
  <w:endnote w:type="continuationSeparator" w:id="0">
    <w:p w14:paraId="1C0A2CCC"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312395"/>
      <w:docPartObj>
        <w:docPartGallery w:val="Page Numbers (Bottom of Page)"/>
        <w:docPartUnique/>
      </w:docPartObj>
    </w:sdtPr>
    <w:sdtEndPr>
      <w:rPr>
        <w:noProof/>
      </w:rPr>
    </w:sdtEndPr>
    <w:sdtContent>
      <w:p w14:paraId="23F7048A" w14:textId="77777777" w:rsidR="00067CE4" w:rsidRDefault="00067CE4">
        <w:pPr>
          <w:pStyle w:val="Footer"/>
          <w:jc w:val="right"/>
        </w:pPr>
        <w:r>
          <w:fldChar w:fldCharType="begin"/>
        </w:r>
        <w:r>
          <w:instrText xml:space="preserve"> PAGE   \* MERGEFORMAT </w:instrText>
        </w:r>
        <w:r>
          <w:fldChar w:fldCharType="separate"/>
        </w:r>
        <w:r w:rsidR="002D4483">
          <w:rPr>
            <w:noProof/>
          </w:rPr>
          <w:t>20</w:t>
        </w:r>
        <w:r>
          <w:rPr>
            <w:noProof/>
          </w:rPr>
          <w:fldChar w:fldCharType="end"/>
        </w:r>
      </w:p>
    </w:sdtContent>
  </w:sdt>
  <w:p w14:paraId="5675E2A5"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8185" w14:textId="77777777" w:rsidR="00564A6D" w:rsidRDefault="00564A6D">
      <w:r>
        <w:separator/>
      </w:r>
    </w:p>
  </w:footnote>
  <w:footnote w:type="continuationSeparator" w:id="0">
    <w:p w14:paraId="2A4E3014"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388" w14:textId="77777777" w:rsidR="00555F5C" w:rsidRDefault="00EA7C2A" w:rsidP="00555F5C">
    <w:pPr>
      <w:pStyle w:val="Factsheet"/>
      <w:ind w:left="7200"/>
      <w:jc w:val="left"/>
    </w:pPr>
    <w:r>
      <w:rPr>
        <w:noProof/>
      </w:rPr>
      <w:drawing>
        <wp:anchor distT="0" distB="0" distL="114300" distR="114300" simplePos="0" relativeHeight="251659264" behindDoc="1" locked="0" layoutInCell="1" allowOverlap="1" wp14:anchorId="32CECAEE" wp14:editId="424BD943">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rsidR="002D7FF1">
      <w:br/>
    </w:r>
  </w:p>
  <w:p w14:paraId="12B527D5" w14:textId="77777777" w:rsidR="00D60132" w:rsidRPr="001F5B89" w:rsidRDefault="00EC070F"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AE4"/>
    <w:multiLevelType w:val="hybridMultilevel"/>
    <w:tmpl w:val="F05465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C2BAF"/>
    <w:multiLevelType w:val="hybridMultilevel"/>
    <w:tmpl w:val="E7CAE1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555519"/>
    <w:multiLevelType w:val="hybridMultilevel"/>
    <w:tmpl w:val="DF50B3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F4A34"/>
    <w:multiLevelType w:val="hybridMultilevel"/>
    <w:tmpl w:val="D3A041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0551C0"/>
    <w:multiLevelType w:val="hybridMultilevel"/>
    <w:tmpl w:val="A34051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70D84"/>
    <w:multiLevelType w:val="hybridMultilevel"/>
    <w:tmpl w:val="312255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E67A62"/>
    <w:multiLevelType w:val="hybridMultilevel"/>
    <w:tmpl w:val="FE802B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B53B45"/>
    <w:multiLevelType w:val="hybridMultilevel"/>
    <w:tmpl w:val="3060194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6B15C0"/>
    <w:multiLevelType w:val="multilevel"/>
    <w:tmpl w:val="7F48644A"/>
    <w:numStyleLink w:val="Bulletpoint"/>
  </w:abstractNum>
  <w:abstractNum w:abstractNumId="11" w15:restartNumberingAfterBreak="0">
    <w:nsid w:val="2690109D"/>
    <w:multiLevelType w:val="hybridMultilevel"/>
    <w:tmpl w:val="E75EAAA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154174"/>
    <w:multiLevelType w:val="hybridMultilevel"/>
    <w:tmpl w:val="DF5096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C16789"/>
    <w:multiLevelType w:val="hybridMultilevel"/>
    <w:tmpl w:val="7B0039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DC0EAA"/>
    <w:multiLevelType w:val="hybridMultilevel"/>
    <w:tmpl w:val="89C855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EA4607"/>
    <w:multiLevelType w:val="hybridMultilevel"/>
    <w:tmpl w:val="7F56833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2F6868"/>
    <w:multiLevelType w:val="hybridMultilevel"/>
    <w:tmpl w:val="362A79F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8904F4"/>
    <w:multiLevelType w:val="hybridMultilevel"/>
    <w:tmpl w:val="5D006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94209C"/>
    <w:multiLevelType w:val="hybridMultilevel"/>
    <w:tmpl w:val="5A667B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6A49C0"/>
    <w:multiLevelType w:val="hybridMultilevel"/>
    <w:tmpl w:val="838CF9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361163"/>
    <w:multiLevelType w:val="hybridMultilevel"/>
    <w:tmpl w:val="528AF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91270E"/>
    <w:multiLevelType w:val="multilevel"/>
    <w:tmpl w:val="7F48644A"/>
    <w:numStyleLink w:val="Bulletpoint"/>
  </w:abstractNum>
  <w:abstractNum w:abstractNumId="27" w15:restartNumberingAfterBreak="0">
    <w:nsid w:val="54114829"/>
    <w:multiLevelType w:val="multilevel"/>
    <w:tmpl w:val="7F48644A"/>
    <w:numStyleLink w:val="Bulletpoint"/>
  </w:abstractNum>
  <w:abstractNum w:abstractNumId="28"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D554CF"/>
    <w:multiLevelType w:val="hybridMultilevel"/>
    <w:tmpl w:val="A8E619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87F82"/>
    <w:multiLevelType w:val="hybridMultilevel"/>
    <w:tmpl w:val="82EAB66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4C5432"/>
    <w:multiLevelType w:val="hybridMultilevel"/>
    <w:tmpl w:val="9118E9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BF2184"/>
    <w:multiLevelType w:val="hybridMultilevel"/>
    <w:tmpl w:val="113EC8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E86F3D"/>
    <w:multiLevelType w:val="hybridMultilevel"/>
    <w:tmpl w:val="55DAE7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6B2ED4"/>
    <w:multiLevelType w:val="hybridMultilevel"/>
    <w:tmpl w:val="86945D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894CAF"/>
    <w:multiLevelType w:val="hybridMultilevel"/>
    <w:tmpl w:val="7B9813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833375422">
    <w:abstractNumId w:val="1"/>
  </w:num>
  <w:num w:numId="2" w16cid:durableId="1652755310">
    <w:abstractNumId w:val="30"/>
  </w:num>
  <w:num w:numId="3" w16cid:durableId="1590120348">
    <w:abstractNumId w:val="27"/>
  </w:num>
  <w:num w:numId="4" w16cid:durableId="2012029809">
    <w:abstractNumId w:val="26"/>
  </w:num>
  <w:num w:numId="5" w16cid:durableId="695083036">
    <w:abstractNumId w:val="10"/>
  </w:num>
  <w:num w:numId="6" w16cid:durableId="828786223">
    <w:abstractNumId w:val="35"/>
  </w:num>
  <w:num w:numId="7" w16cid:durableId="638605998">
    <w:abstractNumId w:val="6"/>
  </w:num>
  <w:num w:numId="8" w16cid:durableId="127478933">
    <w:abstractNumId w:val="37"/>
  </w:num>
  <w:num w:numId="9" w16cid:durableId="1192063291">
    <w:abstractNumId w:val="36"/>
  </w:num>
  <w:num w:numId="10" w16cid:durableId="261766107">
    <w:abstractNumId w:val="28"/>
  </w:num>
  <w:num w:numId="11" w16cid:durableId="1340084910">
    <w:abstractNumId w:val="17"/>
  </w:num>
  <w:num w:numId="12" w16cid:durableId="983585200">
    <w:abstractNumId w:val="22"/>
  </w:num>
  <w:num w:numId="13" w16cid:durableId="1409421343">
    <w:abstractNumId w:val="31"/>
  </w:num>
  <w:num w:numId="14" w16cid:durableId="960302934">
    <w:abstractNumId w:val="15"/>
  </w:num>
  <w:num w:numId="15" w16cid:durableId="500971314">
    <w:abstractNumId w:val="21"/>
  </w:num>
  <w:num w:numId="16" w16cid:durableId="1631788356">
    <w:abstractNumId w:val="12"/>
  </w:num>
  <w:num w:numId="17" w16cid:durableId="626816641">
    <w:abstractNumId w:val="13"/>
  </w:num>
  <w:num w:numId="18" w16cid:durableId="353386904">
    <w:abstractNumId w:val="9"/>
  </w:num>
  <w:num w:numId="19" w16cid:durableId="1107115328">
    <w:abstractNumId w:val="19"/>
  </w:num>
  <w:num w:numId="20" w16cid:durableId="285042873">
    <w:abstractNumId w:val="20"/>
  </w:num>
  <w:num w:numId="21" w16cid:durableId="782000452">
    <w:abstractNumId w:val="39"/>
  </w:num>
  <w:num w:numId="22" w16cid:durableId="1117142710">
    <w:abstractNumId w:val="3"/>
  </w:num>
  <w:num w:numId="23" w16cid:durableId="796948935">
    <w:abstractNumId w:val="8"/>
  </w:num>
  <w:num w:numId="24" w16cid:durableId="316540215">
    <w:abstractNumId w:val="7"/>
  </w:num>
  <w:num w:numId="25" w16cid:durableId="2013529587">
    <w:abstractNumId w:val="4"/>
  </w:num>
  <w:num w:numId="26" w16cid:durableId="2028092947">
    <w:abstractNumId w:val="34"/>
  </w:num>
  <w:num w:numId="27" w16cid:durableId="1970932858">
    <w:abstractNumId w:val="5"/>
  </w:num>
  <w:num w:numId="28" w16cid:durableId="1813521929">
    <w:abstractNumId w:val="29"/>
  </w:num>
  <w:num w:numId="29" w16cid:durableId="894656125">
    <w:abstractNumId w:val="33"/>
  </w:num>
  <w:num w:numId="30" w16cid:durableId="2076125917">
    <w:abstractNumId w:val="23"/>
  </w:num>
  <w:num w:numId="31" w16cid:durableId="664818326">
    <w:abstractNumId w:val="14"/>
  </w:num>
  <w:num w:numId="32" w16cid:durableId="1070421121">
    <w:abstractNumId w:val="11"/>
  </w:num>
  <w:num w:numId="33" w16cid:durableId="1818449218">
    <w:abstractNumId w:val="0"/>
  </w:num>
  <w:num w:numId="34" w16cid:durableId="507335663">
    <w:abstractNumId w:val="2"/>
  </w:num>
  <w:num w:numId="35" w16cid:durableId="716395009">
    <w:abstractNumId w:val="32"/>
  </w:num>
  <w:num w:numId="36" w16cid:durableId="1290631245">
    <w:abstractNumId w:val="25"/>
  </w:num>
  <w:num w:numId="37" w16cid:durableId="1297297308">
    <w:abstractNumId w:val="24"/>
  </w:num>
  <w:num w:numId="38" w16cid:durableId="1469199690">
    <w:abstractNumId w:val="38"/>
  </w:num>
  <w:num w:numId="39" w16cid:durableId="1319919438">
    <w:abstractNumId w:val="18"/>
  </w:num>
  <w:num w:numId="40" w16cid:durableId="15272120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447A"/>
    <w:rsid w:val="0000537C"/>
    <w:rsid w:val="000073E7"/>
    <w:rsid w:val="00011380"/>
    <w:rsid w:val="00011BCE"/>
    <w:rsid w:val="000128F8"/>
    <w:rsid w:val="000148F5"/>
    <w:rsid w:val="00014DFA"/>
    <w:rsid w:val="0001509B"/>
    <w:rsid w:val="00016521"/>
    <w:rsid w:val="0002002B"/>
    <w:rsid w:val="000224A8"/>
    <w:rsid w:val="0002385F"/>
    <w:rsid w:val="000238BE"/>
    <w:rsid w:val="00025B62"/>
    <w:rsid w:val="0002652D"/>
    <w:rsid w:val="0002705A"/>
    <w:rsid w:val="000301A0"/>
    <w:rsid w:val="00030840"/>
    <w:rsid w:val="000329C1"/>
    <w:rsid w:val="000331DB"/>
    <w:rsid w:val="00033A9F"/>
    <w:rsid w:val="0003643E"/>
    <w:rsid w:val="000406DD"/>
    <w:rsid w:val="000411E5"/>
    <w:rsid w:val="00042E77"/>
    <w:rsid w:val="0004492A"/>
    <w:rsid w:val="00045AF7"/>
    <w:rsid w:val="00047744"/>
    <w:rsid w:val="00050277"/>
    <w:rsid w:val="00053961"/>
    <w:rsid w:val="000545D9"/>
    <w:rsid w:val="00054D7D"/>
    <w:rsid w:val="00055A28"/>
    <w:rsid w:val="000610BC"/>
    <w:rsid w:val="00062436"/>
    <w:rsid w:val="0006335D"/>
    <w:rsid w:val="00064BA4"/>
    <w:rsid w:val="00067CE4"/>
    <w:rsid w:val="00067E94"/>
    <w:rsid w:val="00071F45"/>
    <w:rsid w:val="0007285B"/>
    <w:rsid w:val="00074C65"/>
    <w:rsid w:val="0007502D"/>
    <w:rsid w:val="0007553F"/>
    <w:rsid w:val="00075B28"/>
    <w:rsid w:val="0007698C"/>
    <w:rsid w:val="0007784F"/>
    <w:rsid w:val="000808D2"/>
    <w:rsid w:val="000825C2"/>
    <w:rsid w:val="0008467A"/>
    <w:rsid w:val="00086B8E"/>
    <w:rsid w:val="0009596E"/>
    <w:rsid w:val="00095D8D"/>
    <w:rsid w:val="00096208"/>
    <w:rsid w:val="00096EE0"/>
    <w:rsid w:val="000A0F1E"/>
    <w:rsid w:val="000A5290"/>
    <w:rsid w:val="000A5608"/>
    <w:rsid w:val="000A6642"/>
    <w:rsid w:val="000A7162"/>
    <w:rsid w:val="000B1862"/>
    <w:rsid w:val="000B2634"/>
    <w:rsid w:val="000B2A74"/>
    <w:rsid w:val="000B3A4A"/>
    <w:rsid w:val="000B3FA4"/>
    <w:rsid w:val="000B56D8"/>
    <w:rsid w:val="000B58A6"/>
    <w:rsid w:val="000B61E9"/>
    <w:rsid w:val="000B75EB"/>
    <w:rsid w:val="000C0268"/>
    <w:rsid w:val="000C0AC9"/>
    <w:rsid w:val="000C3B4F"/>
    <w:rsid w:val="000C662F"/>
    <w:rsid w:val="000C6B1E"/>
    <w:rsid w:val="000C7176"/>
    <w:rsid w:val="000D2599"/>
    <w:rsid w:val="000D7FA3"/>
    <w:rsid w:val="000E078B"/>
    <w:rsid w:val="000E182F"/>
    <w:rsid w:val="000E1E21"/>
    <w:rsid w:val="000E7008"/>
    <w:rsid w:val="000F053E"/>
    <w:rsid w:val="000F249F"/>
    <w:rsid w:val="000F3370"/>
    <w:rsid w:val="000F3E42"/>
    <w:rsid w:val="000F461F"/>
    <w:rsid w:val="000F6CE6"/>
    <w:rsid w:val="001018F7"/>
    <w:rsid w:val="00101958"/>
    <w:rsid w:val="00104FC4"/>
    <w:rsid w:val="00113B05"/>
    <w:rsid w:val="00116790"/>
    <w:rsid w:val="00117158"/>
    <w:rsid w:val="001174B1"/>
    <w:rsid w:val="001179D0"/>
    <w:rsid w:val="00122CAE"/>
    <w:rsid w:val="0012441C"/>
    <w:rsid w:val="0012580B"/>
    <w:rsid w:val="00127A28"/>
    <w:rsid w:val="0013027E"/>
    <w:rsid w:val="00131EA4"/>
    <w:rsid w:val="00132F07"/>
    <w:rsid w:val="001344D3"/>
    <w:rsid w:val="001344DC"/>
    <w:rsid w:val="00134900"/>
    <w:rsid w:val="00135905"/>
    <w:rsid w:val="00137892"/>
    <w:rsid w:val="00137F70"/>
    <w:rsid w:val="00140885"/>
    <w:rsid w:val="00142DBC"/>
    <w:rsid w:val="001441BA"/>
    <w:rsid w:val="00146DD9"/>
    <w:rsid w:val="001501E7"/>
    <w:rsid w:val="00151375"/>
    <w:rsid w:val="001513E0"/>
    <w:rsid w:val="001517A4"/>
    <w:rsid w:val="00152CFA"/>
    <w:rsid w:val="001537A4"/>
    <w:rsid w:val="00156081"/>
    <w:rsid w:val="00162916"/>
    <w:rsid w:val="00163B75"/>
    <w:rsid w:val="00165BCC"/>
    <w:rsid w:val="0016630F"/>
    <w:rsid w:val="001663F4"/>
    <w:rsid w:val="001669DC"/>
    <w:rsid w:val="0017182A"/>
    <w:rsid w:val="00171F63"/>
    <w:rsid w:val="00172746"/>
    <w:rsid w:val="001742EA"/>
    <w:rsid w:val="00175CFF"/>
    <w:rsid w:val="0017634D"/>
    <w:rsid w:val="001769EC"/>
    <w:rsid w:val="00180391"/>
    <w:rsid w:val="00182CDB"/>
    <w:rsid w:val="00184737"/>
    <w:rsid w:val="00185C55"/>
    <w:rsid w:val="001909CA"/>
    <w:rsid w:val="0019376E"/>
    <w:rsid w:val="00197B58"/>
    <w:rsid w:val="001A0A02"/>
    <w:rsid w:val="001A27E9"/>
    <w:rsid w:val="001B0005"/>
    <w:rsid w:val="001B00B6"/>
    <w:rsid w:val="001B1112"/>
    <w:rsid w:val="001B17A1"/>
    <w:rsid w:val="001B27D6"/>
    <w:rsid w:val="001B2A55"/>
    <w:rsid w:val="001B3A46"/>
    <w:rsid w:val="001B4A6B"/>
    <w:rsid w:val="001B4D62"/>
    <w:rsid w:val="001B79B1"/>
    <w:rsid w:val="001C15E4"/>
    <w:rsid w:val="001C236A"/>
    <w:rsid w:val="001C37D4"/>
    <w:rsid w:val="001C6396"/>
    <w:rsid w:val="001C71A1"/>
    <w:rsid w:val="001D144E"/>
    <w:rsid w:val="001D3CC0"/>
    <w:rsid w:val="001D3D33"/>
    <w:rsid w:val="001D6572"/>
    <w:rsid w:val="001D77A4"/>
    <w:rsid w:val="001E12EE"/>
    <w:rsid w:val="001E516D"/>
    <w:rsid w:val="001E556C"/>
    <w:rsid w:val="001E783A"/>
    <w:rsid w:val="001F2B5D"/>
    <w:rsid w:val="001F3B60"/>
    <w:rsid w:val="001F46C1"/>
    <w:rsid w:val="001F5551"/>
    <w:rsid w:val="001F5B89"/>
    <w:rsid w:val="001F5B9B"/>
    <w:rsid w:val="001F5E9F"/>
    <w:rsid w:val="001F777F"/>
    <w:rsid w:val="002010FF"/>
    <w:rsid w:val="00201EC7"/>
    <w:rsid w:val="00203AFA"/>
    <w:rsid w:val="00203F4C"/>
    <w:rsid w:val="00206468"/>
    <w:rsid w:val="0021405C"/>
    <w:rsid w:val="002140CA"/>
    <w:rsid w:val="00214538"/>
    <w:rsid w:val="00215557"/>
    <w:rsid w:val="00217B75"/>
    <w:rsid w:val="00220972"/>
    <w:rsid w:val="00223136"/>
    <w:rsid w:val="00226F44"/>
    <w:rsid w:val="00227D88"/>
    <w:rsid w:val="002307C5"/>
    <w:rsid w:val="0023354E"/>
    <w:rsid w:val="00235151"/>
    <w:rsid w:val="002354A1"/>
    <w:rsid w:val="00237B30"/>
    <w:rsid w:val="002407D0"/>
    <w:rsid w:val="002422C8"/>
    <w:rsid w:val="002422D5"/>
    <w:rsid w:val="00245811"/>
    <w:rsid w:val="002552D9"/>
    <w:rsid w:val="0026232D"/>
    <w:rsid w:val="00262CF8"/>
    <w:rsid w:val="0026359F"/>
    <w:rsid w:val="00263903"/>
    <w:rsid w:val="00266AEE"/>
    <w:rsid w:val="00266ECB"/>
    <w:rsid w:val="00270797"/>
    <w:rsid w:val="002718EB"/>
    <w:rsid w:val="00271FF2"/>
    <w:rsid w:val="002724DF"/>
    <w:rsid w:val="00273BD2"/>
    <w:rsid w:val="002747DF"/>
    <w:rsid w:val="002759E0"/>
    <w:rsid w:val="00276662"/>
    <w:rsid w:val="002805F3"/>
    <w:rsid w:val="0028254B"/>
    <w:rsid w:val="00283423"/>
    <w:rsid w:val="00285893"/>
    <w:rsid w:val="0028595F"/>
    <w:rsid w:val="00285DA3"/>
    <w:rsid w:val="00285F8B"/>
    <w:rsid w:val="00294596"/>
    <w:rsid w:val="002976C9"/>
    <w:rsid w:val="002A2478"/>
    <w:rsid w:val="002A3643"/>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D2808"/>
    <w:rsid w:val="002D3D98"/>
    <w:rsid w:val="002D4483"/>
    <w:rsid w:val="002D473B"/>
    <w:rsid w:val="002D7FF1"/>
    <w:rsid w:val="002E1475"/>
    <w:rsid w:val="002E1989"/>
    <w:rsid w:val="002E4809"/>
    <w:rsid w:val="002E5E5E"/>
    <w:rsid w:val="002E7126"/>
    <w:rsid w:val="002F11C1"/>
    <w:rsid w:val="002F194D"/>
    <w:rsid w:val="002F1BF6"/>
    <w:rsid w:val="002F3AFB"/>
    <w:rsid w:val="002F4E30"/>
    <w:rsid w:val="002F5488"/>
    <w:rsid w:val="002F61A0"/>
    <w:rsid w:val="002F7EDC"/>
    <w:rsid w:val="00300844"/>
    <w:rsid w:val="00301F8E"/>
    <w:rsid w:val="003033E8"/>
    <w:rsid w:val="00305829"/>
    <w:rsid w:val="00307D53"/>
    <w:rsid w:val="00311144"/>
    <w:rsid w:val="0031124B"/>
    <w:rsid w:val="003117CD"/>
    <w:rsid w:val="003119CF"/>
    <w:rsid w:val="00315796"/>
    <w:rsid w:val="003173AB"/>
    <w:rsid w:val="00320D58"/>
    <w:rsid w:val="0032504B"/>
    <w:rsid w:val="003258CD"/>
    <w:rsid w:val="003306A3"/>
    <w:rsid w:val="00330901"/>
    <w:rsid w:val="00333D00"/>
    <w:rsid w:val="00334EDE"/>
    <w:rsid w:val="0033547A"/>
    <w:rsid w:val="0034140D"/>
    <w:rsid w:val="003433C7"/>
    <w:rsid w:val="00343FC0"/>
    <w:rsid w:val="003451FB"/>
    <w:rsid w:val="003478B8"/>
    <w:rsid w:val="00347998"/>
    <w:rsid w:val="003511BA"/>
    <w:rsid w:val="003514DE"/>
    <w:rsid w:val="003519E4"/>
    <w:rsid w:val="00351E80"/>
    <w:rsid w:val="0035247A"/>
    <w:rsid w:val="00352D3F"/>
    <w:rsid w:val="003560A6"/>
    <w:rsid w:val="00360C09"/>
    <w:rsid w:val="00360EA0"/>
    <w:rsid w:val="003612DA"/>
    <w:rsid w:val="00361E84"/>
    <w:rsid w:val="00361F62"/>
    <w:rsid w:val="00371240"/>
    <w:rsid w:val="00373822"/>
    <w:rsid w:val="00373D16"/>
    <w:rsid w:val="00374198"/>
    <w:rsid w:val="00382DD2"/>
    <w:rsid w:val="00383F13"/>
    <w:rsid w:val="003864CF"/>
    <w:rsid w:val="003869F8"/>
    <w:rsid w:val="00393363"/>
    <w:rsid w:val="00394947"/>
    <w:rsid w:val="00394F0A"/>
    <w:rsid w:val="00395DA8"/>
    <w:rsid w:val="003A0D8E"/>
    <w:rsid w:val="003A2183"/>
    <w:rsid w:val="003A2DAE"/>
    <w:rsid w:val="003A5B11"/>
    <w:rsid w:val="003A60EC"/>
    <w:rsid w:val="003A66E0"/>
    <w:rsid w:val="003A74D7"/>
    <w:rsid w:val="003B109B"/>
    <w:rsid w:val="003B1954"/>
    <w:rsid w:val="003B2029"/>
    <w:rsid w:val="003B312B"/>
    <w:rsid w:val="003B4FA9"/>
    <w:rsid w:val="003B5958"/>
    <w:rsid w:val="003B6BF2"/>
    <w:rsid w:val="003B76E6"/>
    <w:rsid w:val="003B7C6B"/>
    <w:rsid w:val="003C497F"/>
    <w:rsid w:val="003C5439"/>
    <w:rsid w:val="003D2444"/>
    <w:rsid w:val="003D3F7D"/>
    <w:rsid w:val="003D5CEF"/>
    <w:rsid w:val="003D6256"/>
    <w:rsid w:val="003D74B2"/>
    <w:rsid w:val="003E027E"/>
    <w:rsid w:val="003E040E"/>
    <w:rsid w:val="003E2B10"/>
    <w:rsid w:val="003E3494"/>
    <w:rsid w:val="003F0F71"/>
    <w:rsid w:val="003F12EE"/>
    <w:rsid w:val="003F1D65"/>
    <w:rsid w:val="003F1E89"/>
    <w:rsid w:val="003F4AE1"/>
    <w:rsid w:val="003F5D47"/>
    <w:rsid w:val="003F7832"/>
    <w:rsid w:val="00403E95"/>
    <w:rsid w:val="00403ECB"/>
    <w:rsid w:val="004044C6"/>
    <w:rsid w:val="00404713"/>
    <w:rsid w:val="00413496"/>
    <w:rsid w:val="00414BFB"/>
    <w:rsid w:val="004157A1"/>
    <w:rsid w:val="0041637F"/>
    <w:rsid w:val="00417530"/>
    <w:rsid w:val="004209CB"/>
    <w:rsid w:val="00421629"/>
    <w:rsid w:val="00422F58"/>
    <w:rsid w:val="004250D1"/>
    <w:rsid w:val="00426C75"/>
    <w:rsid w:val="00426CCF"/>
    <w:rsid w:val="0042762C"/>
    <w:rsid w:val="0043154E"/>
    <w:rsid w:val="00431C7D"/>
    <w:rsid w:val="00433911"/>
    <w:rsid w:val="00433F77"/>
    <w:rsid w:val="00435FBE"/>
    <w:rsid w:val="0043730B"/>
    <w:rsid w:val="00437E31"/>
    <w:rsid w:val="00443223"/>
    <w:rsid w:val="004450E5"/>
    <w:rsid w:val="0044771E"/>
    <w:rsid w:val="00456D1B"/>
    <w:rsid w:val="004578D4"/>
    <w:rsid w:val="00462C0D"/>
    <w:rsid w:val="00463348"/>
    <w:rsid w:val="00463693"/>
    <w:rsid w:val="00465278"/>
    <w:rsid w:val="00465B77"/>
    <w:rsid w:val="00465CA9"/>
    <w:rsid w:val="00466F42"/>
    <w:rsid w:val="00471904"/>
    <w:rsid w:val="00471FED"/>
    <w:rsid w:val="00472613"/>
    <w:rsid w:val="00474D1F"/>
    <w:rsid w:val="00477082"/>
    <w:rsid w:val="0047716D"/>
    <w:rsid w:val="00482A4A"/>
    <w:rsid w:val="00482EA5"/>
    <w:rsid w:val="00483CA4"/>
    <w:rsid w:val="00483E4D"/>
    <w:rsid w:val="00484FED"/>
    <w:rsid w:val="00486ADF"/>
    <w:rsid w:val="00487C45"/>
    <w:rsid w:val="004905D6"/>
    <w:rsid w:val="004909FF"/>
    <w:rsid w:val="00492B05"/>
    <w:rsid w:val="004955BF"/>
    <w:rsid w:val="00497695"/>
    <w:rsid w:val="00497A81"/>
    <w:rsid w:val="004A39D0"/>
    <w:rsid w:val="004A3E81"/>
    <w:rsid w:val="004A58FB"/>
    <w:rsid w:val="004B4725"/>
    <w:rsid w:val="004B47D6"/>
    <w:rsid w:val="004B73E4"/>
    <w:rsid w:val="004C2C02"/>
    <w:rsid w:val="004C4253"/>
    <w:rsid w:val="004C46B8"/>
    <w:rsid w:val="004C4868"/>
    <w:rsid w:val="004C7CEB"/>
    <w:rsid w:val="004D006D"/>
    <w:rsid w:val="004D3681"/>
    <w:rsid w:val="004D5B8A"/>
    <w:rsid w:val="004D5D40"/>
    <w:rsid w:val="004D7EA7"/>
    <w:rsid w:val="004E5AF2"/>
    <w:rsid w:val="004E63F8"/>
    <w:rsid w:val="004F5225"/>
    <w:rsid w:val="004F68F4"/>
    <w:rsid w:val="00500814"/>
    <w:rsid w:val="00501A40"/>
    <w:rsid w:val="00501C9D"/>
    <w:rsid w:val="00503035"/>
    <w:rsid w:val="0050731C"/>
    <w:rsid w:val="00512431"/>
    <w:rsid w:val="005138C1"/>
    <w:rsid w:val="00513B31"/>
    <w:rsid w:val="00514203"/>
    <w:rsid w:val="00515388"/>
    <w:rsid w:val="005176D3"/>
    <w:rsid w:val="00517D85"/>
    <w:rsid w:val="00526FCA"/>
    <w:rsid w:val="00532867"/>
    <w:rsid w:val="005362AF"/>
    <w:rsid w:val="00537C3A"/>
    <w:rsid w:val="00540306"/>
    <w:rsid w:val="00540BEA"/>
    <w:rsid w:val="00542D54"/>
    <w:rsid w:val="00547E44"/>
    <w:rsid w:val="005501FF"/>
    <w:rsid w:val="00552DEE"/>
    <w:rsid w:val="00555F5C"/>
    <w:rsid w:val="00557D72"/>
    <w:rsid w:val="0056136E"/>
    <w:rsid w:val="00564A6D"/>
    <w:rsid w:val="00566044"/>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B7D"/>
    <w:rsid w:val="00587FC3"/>
    <w:rsid w:val="005927CC"/>
    <w:rsid w:val="005A14CC"/>
    <w:rsid w:val="005A2F57"/>
    <w:rsid w:val="005A576C"/>
    <w:rsid w:val="005A5F47"/>
    <w:rsid w:val="005A74E6"/>
    <w:rsid w:val="005B03F0"/>
    <w:rsid w:val="005B05EB"/>
    <w:rsid w:val="005B3E6F"/>
    <w:rsid w:val="005B72A1"/>
    <w:rsid w:val="005C03C7"/>
    <w:rsid w:val="005C0C76"/>
    <w:rsid w:val="005C1A32"/>
    <w:rsid w:val="005C3829"/>
    <w:rsid w:val="005D0369"/>
    <w:rsid w:val="005D2418"/>
    <w:rsid w:val="005D3C1E"/>
    <w:rsid w:val="005D5243"/>
    <w:rsid w:val="005E0EC4"/>
    <w:rsid w:val="005E304F"/>
    <w:rsid w:val="005E4202"/>
    <w:rsid w:val="005E5D5C"/>
    <w:rsid w:val="005F1322"/>
    <w:rsid w:val="005F265C"/>
    <w:rsid w:val="005F47CF"/>
    <w:rsid w:val="005F68CF"/>
    <w:rsid w:val="005F7C64"/>
    <w:rsid w:val="00602501"/>
    <w:rsid w:val="00602E79"/>
    <w:rsid w:val="006047A5"/>
    <w:rsid w:val="00606514"/>
    <w:rsid w:val="00606598"/>
    <w:rsid w:val="00606934"/>
    <w:rsid w:val="00616492"/>
    <w:rsid w:val="00616F55"/>
    <w:rsid w:val="00616FBF"/>
    <w:rsid w:val="0062186B"/>
    <w:rsid w:val="0062259C"/>
    <w:rsid w:val="00624F0D"/>
    <w:rsid w:val="00625A95"/>
    <w:rsid w:val="00625C93"/>
    <w:rsid w:val="00626515"/>
    <w:rsid w:val="006268D0"/>
    <w:rsid w:val="0063059C"/>
    <w:rsid w:val="00635154"/>
    <w:rsid w:val="006407A6"/>
    <w:rsid w:val="00641B08"/>
    <w:rsid w:val="006454C0"/>
    <w:rsid w:val="00646DF9"/>
    <w:rsid w:val="00651675"/>
    <w:rsid w:val="00654034"/>
    <w:rsid w:val="00655200"/>
    <w:rsid w:val="006560D6"/>
    <w:rsid w:val="00656D1A"/>
    <w:rsid w:val="00657E24"/>
    <w:rsid w:val="006604A0"/>
    <w:rsid w:val="00662ABD"/>
    <w:rsid w:val="006632AB"/>
    <w:rsid w:val="0066560E"/>
    <w:rsid w:val="00667F27"/>
    <w:rsid w:val="00673F44"/>
    <w:rsid w:val="0067451E"/>
    <w:rsid w:val="00675CB8"/>
    <w:rsid w:val="00676748"/>
    <w:rsid w:val="00676D5D"/>
    <w:rsid w:val="00681CB1"/>
    <w:rsid w:val="0068374C"/>
    <w:rsid w:val="00684100"/>
    <w:rsid w:val="006876F3"/>
    <w:rsid w:val="00693256"/>
    <w:rsid w:val="00693892"/>
    <w:rsid w:val="00693C67"/>
    <w:rsid w:val="0069529F"/>
    <w:rsid w:val="00695FE8"/>
    <w:rsid w:val="006971DF"/>
    <w:rsid w:val="006A0046"/>
    <w:rsid w:val="006A3F87"/>
    <w:rsid w:val="006A5D5F"/>
    <w:rsid w:val="006A6DB1"/>
    <w:rsid w:val="006B04CD"/>
    <w:rsid w:val="006B33CD"/>
    <w:rsid w:val="006B4028"/>
    <w:rsid w:val="006B480C"/>
    <w:rsid w:val="006B493D"/>
    <w:rsid w:val="006B5340"/>
    <w:rsid w:val="006B5948"/>
    <w:rsid w:val="006C0C3B"/>
    <w:rsid w:val="006C4501"/>
    <w:rsid w:val="006C47B1"/>
    <w:rsid w:val="006D1E36"/>
    <w:rsid w:val="006D23FC"/>
    <w:rsid w:val="006D2E28"/>
    <w:rsid w:val="006D6D40"/>
    <w:rsid w:val="006E3BEB"/>
    <w:rsid w:val="006E79A0"/>
    <w:rsid w:val="006F0E4E"/>
    <w:rsid w:val="006F1DD2"/>
    <w:rsid w:val="006F1F33"/>
    <w:rsid w:val="006F3E7B"/>
    <w:rsid w:val="006F4102"/>
    <w:rsid w:val="006F55AF"/>
    <w:rsid w:val="006F678D"/>
    <w:rsid w:val="006F7E8A"/>
    <w:rsid w:val="00700862"/>
    <w:rsid w:val="00700FFE"/>
    <w:rsid w:val="0070389C"/>
    <w:rsid w:val="007039F2"/>
    <w:rsid w:val="00703E2D"/>
    <w:rsid w:val="00705798"/>
    <w:rsid w:val="00706202"/>
    <w:rsid w:val="00706E5A"/>
    <w:rsid w:val="00707B6E"/>
    <w:rsid w:val="00711D82"/>
    <w:rsid w:val="00711F21"/>
    <w:rsid w:val="007143CA"/>
    <w:rsid w:val="0072085C"/>
    <w:rsid w:val="00721CE4"/>
    <w:rsid w:val="00722530"/>
    <w:rsid w:val="007225CF"/>
    <w:rsid w:val="007227F3"/>
    <w:rsid w:val="00722BDC"/>
    <w:rsid w:val="00724361"/>
    <w:rsid w:val="0072526F"/>
    <w:rsid w:val="00725308"/>
    <w:rsid w:val="00726992"/>
    <w:rsid w:val="00726BCE"/>
    <w:rsid w:val="00730305"/>
    <w:rsid w:val="00730C7D"/>
    <w:rsid w:val="00735026"/>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53AC"/>
    <w:rsid w:val="007712A3"/>
    <w:rsid w:val="007719DB"/>
    <w:rsid w:val="00773342"/>
    <w:rsid w:val="00775DAA"/>
    <w:rsid w:val="007775C2"/>
    <w:rsid w:val="0078400F"/>
    <w:rsid w:val="007870F3"/>
    <w:rsid w:val="007904E8"/>
    <w:rsid w:val="00794002"/>
    <w:rsid w:val="00794B8E"/>
    <w:rsid w:val="007A0631"/>
    <w:rsid w:val="007A2415"/>
    <w:rsid w:val="007A4ACF"/>
    <w:rsid w:val="007A555E"/>
    <w:rsid w:val="007A5679"/>
    <w:rsid w:val="007A7B79"/>
    <w:rsid w:val="007B10A1"/>
    <w:rsid w:val="007B796A"/>
    <w:rsid w:val="007C1F7F"/>
    <w:rsid w:val="007C2068"/>
    <w:rsid w:val="007C314E"/>
    <w:rsid w:val="007C336E"/>
    <w:rsid w:val="007C5444"/>
    <w:rsid w:val="007D0D89"/>
    <w:rsid w:val="007D5C84"/>
    <w:rsid w:val="007D612F"/>
    <w:rsid w:val="007D7250"/>
    <w:rsid w:val="007D7989"/>
    <w:rsid w:val="007E0541"/>
    <w:rsid w:val="007E1F21"/>
    <w:rsid w:val="007E283B"/>
    <w:rsid w:val="007E6506"/>
    <w:rsid w:val="007E6630"/>
    <w:rsid w:val="007E74CE"/>
    <w:rsid w:val="007F0DFF"/>
    <w:rsid w:val="007F21E1"/>
    <w:rsid w:val="007F249A"/>
    <w:rsid w:val="007F49B2"/>
    <w:rsid w:val="007F4BB5"/>
    <w:rsid w:val="007F4CD1"/>
    <w:rsid w:val="007F5F30"/>
    <w:rsid w:val="007F6563"/>
    <w:rsid w:val="008001A5"/>
    <w:rsid w:val="0080224A"/>
    <w:rsid w:val="00802DD7"/>
    <w:rsid w:val="00807728"/>
    <w:rsid w:val="00810C20"/>
    <w:rsid w:val="008161B8"/>
    <w:rsid w:val="008223AD"/>
    <w:rsid w:val="0082299C"/>
    <w:rsid w:val="00822A85"/>
    <w:rsid w:val="00823721"/>
    <w:rsid w:val="00830009"/>
    <w:rsid w:val="00830C15"/>
    <w:rsid w:val="00832FAA"/>
    <w:rsid w:val="00833BC8"/>
    <w:rsid w:val="00834910"/>
    <w:rsid w:val="008355C2"/>
    <w:rsid w:val="008359C8"/>
    <w:rsid w:val="008415D0"/>
    <w:rsid w:val="008430E0"/>
    <w:rsid w:val="0084320C"/>
    <w:rsid w:val="00843501"/>
    <w:rsid w:val="00844E69"/>
    <w:rsid w:val="0085229E"/>
    <w:rsid w:val="00852784"/>
    <w:rsid w:val="0085449F"/>
    <w:rsid w:val="00855C78"/>
    <w:rsid w:val="0086371E"/>
    <w:rsid w:val="008640CC"/>
    <w:rsid w:val="008645E3"/>
    <w:rsid w:val="00864828"/>
    <w:rsid w:val="00870743"/>
    <w:rsid w:val="008709B8"/>
    <w:rsid w:val="00872919"/>
    <w:rsid w:val="0087502F"/>
    <w:rsid w:val="00877A34"/>
    <w:rsid w:val="00877A71"/>
    <w:rsid w:val="0088091F"/>
    <w:rsid w:val="008841B2"/>
    <w:rsid w:val="00884540"/>
    <w:rsid w:val="008873F6"/>
    <w:rsid w:val="008940F6"/>
    <w:rsid w:val="00895308"/>
    <w:rsid w:val="0089618C"/>
    <w:rsid w:val="00896E62"/>
    <w:rsid w:val="008A53DD"/>
    <w:rsid w:val="008A6A0D"/>
    <w:rsid w:val="008A7B08"/>
    <w:rsid w:val="008B1641"/>
    <w:rsid w:val="008B3B1D"/>
    <w:rsid w:val="008B4601"/>
    <w:rsid w:val="008B6191"/>
    <w:rsid w:val="008B6B17"/>
    <w:rsid w:val="008C140F"/>
    <w:rsid w:val="008C2FB2"/>
    <w:rsid w:val="008D12BF"/>
    <w:rsid w:val="008D367F"/>
    <w:rsid w:val="008D43FA"/>
    <w:rsid w:val="008D4793"/>
    <w:rsid w:val="008D4CBD"/>
    <w:rsid w:val="008D5C71"/>
    <w:rsid w:val="008E03EC"/>
    <w:rsid w:val="008E2FCC"/>
    <w:rsid w:val="008E3093"/>
    <w:rsid w:val="008E6C1E"/>
    <w:rsid w:val="008E7B78"/>
    <w:rsid w:val="008F120A"/>
    <w:rsid w:val="008F2FB1"/>
    <w:rsid w:val="008F757B"/>
    <w:rsid w:val="009001A0"/>
    <w:rsid w:val="00900828"/>
    <w:rsid w:val="00900D31"/>
    <w:rsid w:val="00903812"/>
    <w:rsid w:val="00904A57"/>
    <w:rsid w:val="00905830"/>
    <w:rsid w:val="00906663"/>
    <w:rsid w:val="0091352A"/>
    <w:rsid w:val="00914AA2"/>
    <w:rsid w:val="00915392"/>
    <w:rsid w:val="00916AE4"/>
    <w:rsid w:val="00917E2A"/>
    <w:rsid w:val="00925E78"/>
    <w:rsid w:val="00931A41"/>
    <w:rsid w:val="009320E3"/>
    <w:rsid w:val="00933915"/>
    <w:rsid w:val="00944CB0"/>
    <w:rsid w:val="0094542E"/>
    <w:rsid w:val="0095060E"/>
    <w:rsid w:val="00950BF5"/>
    <w:rsid w:val="009518D2"/>
    <w:rsid w:val="00953E8A"/>
    <w:rsid w:val="009674B8"/>
    <w:rsid w:val="00970410"/>
    <w:rsid w:val="00970D43"/>
    <w:rsid w:val="00971CE0"/>
    <w:rsid w:val="009805BD"/>
    <w:rsid w:val="0098118D"/>
    <w:rsid w:val="00981E50"/>
    <w:rsid w:val="009827BA"/>
    <w:rsid w:val="0098461E"/>
    <w:rsid w:val="00985076"/>
    <w:rsid w:val="0098586D"/>
    <w:rsid w:val="00987C51"/>
    <w:rsid w:val="00993332"/>
    <w:rsid w:val="00995553"/>
    <w:rsid w:val="0099637D"/>
    <w:rsid w:val="00997723"/>
    <w:rsid w:val="009A3228"/>
    <w:rsid w:val="009A577D"/>
    <w:rsid w:val="009A6CF1"/>
    <w:rsid w:val="009A7C06"/>
    <w:rsid w:val="009B03A5"/>
    <w:rsid w:val="009B275D"/>
    <w:rsid w:val="009B3925"/>
    <w:rsid w:val="009B6768"/>
    <w:rsid w:val="009B799E"/>
    <w:rsid w:val="009C09F9"/>
    <w:rsid w:val="009C39F9"/>
    <w:rsid w:val="009C4138"/>
    <w:rsid w:val="009D0DE8"/>
    <w:rsid w:val="009D1EF2"/>
    <w:rsid w:val="009D2867"/>
    <w:rsid w:val="009D2F67"/>
    <w:rsid w:val="009D3B98"/>
    <w:rsid w:val="009D4F3C"/>
    <w:rsid w:val="009D4F40"/>
    <w:rsid w:val="009E3C87"/>
    <w:rsid w:val="009E46E2"/>
    <w:rsid w:val="009E4B0D"/>
    <w:rsid w:val="009E4DB0"/>
    <w:rsid w:val="009E7D17"/>
    <w:rsid w:val="009F05C3"/>
    <w:rsid w:val="009F0CFA"/>
    <w:rsid w:val="009F3242"/>
    <w:rsid w:val="009F3EA5"/>
    <w:rsid w:val="009F3F1E"/>
    <w:rsid w:val="009F5A7B"/>
    <w:rsid w:val="00A03B45"/>
    <w:rsid w:val="00A0537E"/>
    <w:rsid w:val="00A06DC4"/>
    <w:rsid w:val="00A06F4C"/>
    <w:rsid w:val="00A12F22"/>
    <w:rsid w:val="00A140C4"/>
    <w:rsid w:val="00A160B4"/>
    <w:rsid w:val="00A160EE"/>
    <w:rsid w:val="00A21DD3"/>
    <w:rsid w:val="00A241FD"/>
    <w:rsid w:val="00A25CE3"/>
    <w:rsid w:val="00A3196A"/>
    <w:rsid w:val="00A3306A"/>
    <w:rsid w:val="00A33B90"/>
    <w:rsid w:val="00A33EF5"/>
    <w:rsid w:val="00A3617B"/>
    <w:rsid w:val="00A36BE4"/>
    <w:rsid w:val="00A413C4"/>
    <w:rsid w:val="00A4153B"/>
    <w:rsid w:val="00A428D7"/>
    <w:rsid w:val="00A440B8"/>
    <w:rsid w:val="00A44CF3"/>
    <w:rsid w:val="00A46184"/>
    <w:rsid w:val="00A46D24"/>
    <w:rsid w:val="00A47932"/>
    <w:rsid w:val="00A50459"/>
    <w:rsid w:val="00A51376"/>
    <w:rsid w:val="00A54292"/>
    <w:rsid w:val="00A54816"/>
    <w:rsid w:val="00A54F47"/>
    <w:rsid w:val="00A554CE"/>
    <w:rsid w:val="00A5593B"/>
    <w:rsid w:val="00A60F03"/>
    <w:rsid w:val="00A618A3"/>
    <w:rsid w:val="00A61E20"/>
    <w:rsid w:val="00A628C2"/>
    <w:rsid w:val="00A701DD"/>
    <w:rsid w:val="00A72113"/>
    <w:rsid w:val="00A73754"/>
    <w:rsid w:val="00A73802"/>
    <w:rsid w:val="00A807C9"/>
    <w:rsid w:val="00A80F69"/>
    <w:rsid w:val="00A819EB"/>
    <w:rsid w:val="00A8318D"/>
    <w:rsid w:val="00A8375D"/>
    <w:rsid w:val="00A8445B"/>
    <w:rsid w:val="00A8484E"/>
    <w:rsid w:val="00A8639D"/>
    <w:rsid w:val="00A86628"/>
    <w:rsid w:val="00A87502"/>
    <w:rsid w:val="00A91C45"/>
    <w:rsid w:val="00A9434D"/>
    <w:rsid w:val="00A9447F"/>
    <w:rsid w:val="00A95DCC"/>
    <w:rsid w:val="00A96FAD"/>
    <w:rsid w:val="00A972A4"/>
    <w:rsid w:val="00A97E8E"/>
    <w:rsid w:val="00AA0677"/>
    <w:rsid w:val="00AA1F7F"/>
    <w:rsid w:val="00AA3945"/>
    <w:rsid w:val="00AA61B1"/>
    <w:rsid w:val="00AB25AB"/>
    <w:rsid w:val="00AB2F33"/>
    <w:rsid w:val="00AB4BED"/>
    <w:rsid w:val="00AB6AC5"/>
    <w:rsid w:val="00AC2363"/>
    <w:rsid w:val="00AC61EC"/>
    <w:rsid w:val="00AC72F0"/>
    <w:rsid w:val="00AC7892"/>
    <w:rsid w:val="00AC791A"/>
    <w:rsid w:val="00AD0221"/>
    <w:rsid w:val="00AD198A"/>
    <w:rsid w:val="00AD392C"/>
    <w:rsid w:val="00AD7126"/>
    <w:rsid w:val="00AE05C4"/>
    <w:rsid w:val="00AE4CC5"/>
    <w:rsid w:val="00AE59F0"/>
    <w:rsid w:val="00AE6C6D"/>
    <w:rsid w:val="00AF0285"/>
    <w:rsid w:val="00AF2ED9"/>
    <w:rsid w:val="00B000DB"/>
    <w:rsid w:val="00B06988"/>
    <w:rsid w:val="00B1087F"/>
    <w:rsid w:val="00B11633"/>
    <w:rsid w:val="00B136C8"/>
    <w:rsid w:val="00B20EB9"/>
    <w:rsid w:val="00B21A38"/>
    <w:rsid w:val="00B2208A"/>
    <w:rsid w:val="00B25D04"/>
    <w:rsid w:val="00B359F1"/>
    <w:rsid w:val="00B41260"/>
    <w:rsid w:val="00B41A1F"/>
    <w:rsid w:val="00B4316D"/>
    <w:rsid w:val="00B436F2"/>
    <w:rsid w:val="00B442B4"/>
    <w:rsid w:val="00B5290C"/>
    <w:rsid w:val="00B530A0"/>
    <w:rsid w:val="00B579B2"/>
    <w:rsid w:val="00B65329"/>
    <w:rsid w:val="00B65904"/>
    <w:rsid w:val="00B66307"/>
    <w:rsid w:val="00B6725F"/>
    <w:rsid w:val="00B70335"/>
    <w:rsid w:val="00B72875"/>
    <w:rsid w:val="00B745E9"/>
    <w:rsid w:val="00B77ED0"/>
    <w:rsid w:val="00B81F48"/>
    <w:rsid w:val="00B830DD"/>
    <w:rsid w:val="00B8325F"/>
    <w:rsid w:val="00B9065D"/>
    <w:rsid w:val="00B9232D"/>
    <w:rsid w:val="00B923F1"/>
    <w:rsid w:val="00B93AD1"/>
    <w:rsid w:val="00B93FBE"/>
    <w:rsid w:val="00B94763"/>
    <w:rsid w:val="00BA31AA"/>
    <w:rsid w:val="00BA4230"/>
    <w:rsid w:val="00BA4468"/>
    <w:rsid w:val="00BA5201"/>
    <w:rsid w:val="00BB0F1F"/>
    <w:rsid w:val="00BB11ED"/>
    <w:rsid w:val="00BB1545"/>
    <w:rsid w:val="00BB1802"/>
    <w:rsid w:val="00BB304A"/>
    <w:rsid w:val="00BB3FC9"/>
    <w:rsid w:val="00BB657B"/>
    <w:rsid w:val="00BB7E7F"/>
    <w:rsid w:val="00BC12FE"/>
    <w:rsid w:val="00BC1827"/>
    <w:rsid w:val="00BC2124"/>
    <w:rsid w:val="00BC237F"/>
    <w:rsid w:val="00BC2DA6"/>
    <w:rsid w:val="00BC589A"/>
    <w:rsid w:val="00BC779C"/>
    <w:rsid w:val="00BD0868"/>
    <w:rsid w:val="00BD0D25"/>
    <w:rsid w:val="00BD710E"/>
    <w:rsid w:val="00BD75AF"/>
    <w:rsid w:val="00BE3E96"/>
    <w:rsid w:val="00BE6932"/>
    <w:rsid w:val="00BF1779"/>
    <w:rsid w:val="00BF4D6D"/>
    <w:rsid w:val="00BF73F0"/>
    <w:rsid w:val="00BF7961"/>
    <w:rsid w:val="00C03748"/>
    <w:rsid w:val="00C04104"/>
    <w:rsid w:val="00C10012"/>
    <w:rsid w:val="00C10460"/>
    <w:rsid w:val="00C10AAB"/>
    <w:rsid w:val="00C10F89"/>
    <w:rsid w:val="00C11A9A"/>
    <w:rsid w:val="00C11D3B"/>
    <w:rsid w:val="00C122EE"/>
    <w:rsid w:val="00C1543B"/>
    <w:rsid w:val="00C20CC5"/>
    <w:rsid w:val="00C212C5"/>
    <w:rsid w:val="00C2134C"/>
    <w:rsid w:val="00C23778"/>
    <w:rsid w:val="00C23E09"/>
    <w:rsid w:val="00C3160F"/>
    <w:rsid w:val="00C33295"/>
    <w:rsid w:val="00C33DD7"/>
    <w:rsid w:val="00C36D69"/>
    <w:rsid w:val="00C406FB"/>
    <w:rsid w:val="00C4100B"/>
    <w:rsid w:val="00C410A5"/>
    <w:rsid w:val="00C431A4"/>
    <w:rsid w:val="00C45EA3"/>
    <w:rsid w:val="00C5036A"/>
    <w:rsid w:val="00C5065A"/>
    <w:rsid w:val="00C509C4"/>
    <w:rsid w:val="00C519DD"/>
    <w:rsid w:val="00C56180"/>
    <w:rsid w:val="00C61DAC"/>
    <w:rsid w:val="00C628C9"/>
    <w:rsid w:val="00C6472A"/>
    <w:rsid w:val="00C64EEA"/>
    <w:rsid w:val="00C73AAF"/>
    <w:rsid w:val="00C76E7C"/>
    <w:rsid w:val="00C81613"/>
    <w:rsid w:val="00C83EA4"/>
    <w:rsid w:val="00C84B7F"/>
    <w:rsid w:val="00C8520A"/>
    <w:rsid w:val="00C9098F"/>
    <w:rsid w:val="00C92DB0"/>
    <w:rsid w:val="00C93EAA"/>
    <w:rsid w:val="00C943C1"/>
    <w:rsid w:val="00C94DCD"/>
    <w:rsid w:val="00C95BD4"/>
    <w:rsid w:val="00C9763D"/>
    <w:rsid w:val="00CA147F"/>
    <w:rsid w:val="00CA4627"/>
    <w:rsid w:val="00CA4B81"/>
    <w:rsid w:val="00CA78FC"/>
    <w:rsid w:val="00CB1303"/>
    <w:rsid w:val="00CB3F1D"/>
    <w:rsid w:val="00CB68BB"/>
    <w:rsid w:val="00CB6A03"/>
    <w:rsid w:val="00CB74C6"/>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F11EB"/>
    <w:rsid w:val="00CF2AD4"/>
    <w:rsid w:val="00CF60B5"/>
    <w:rsid w:val="00CF72F4"/>
    <w:rsid w:val="00D02A8C"/>
    <w:rsid w:val="00D02F38"/>
    <w:rsid w:val="00D03827"/>
    <w:rsid w:val="00D05DE8"/>
    <w:rsid w:val="00D10C4C"/>
    <w:rsid w:val="00D12B43"/>
    <w:rsid w:val="00D15F46"/>
    <w:rsid w:val="00D16824"/>
    <w:rsid w:val="00D252CB"/>
    <w:rsid w:val="00D31827"/>
    <w:rsid w:val="00D33FB6"/>
    <w:rsid w:val="00D3500F"/>
    <w:rsid w:val="00D35BD2"/>
    <w:rsid w:val="00D371B3"/>
    <w:rsid w:val="00D42198"/>
    <w:rsid w:val="00D44643"/>
    <w:rsid w:val="00D4653F"/>
    <w:rsid w:val="00D50F88"/>
    <w:rsid w:val="00D52AB6"/>
    <w:rsid w:val="00D5391C"/>
    <w:rsid w:val="00D55126"/>
    <w:rsid w:val="00D55136"/>
    <w:rsid w:val="00D55F3B"/>
    <w:rsid w:val="00D57FDC"/>
    <w:rsid w:val="00D60132"/>
    <w:rsid w:val="00D603D1"/>
    <w:rsid w:val="00D62274"/>
    <w:rsid w:val="00D65ADC"/>
    <w:rsid w:val="00D6646A"/>
    <w:rsid w:val="00D66893"/>
    <w:rsid w:val="00D70F7D"/>
    <w:rsid w:val="00D7166D"/>
    <w:rsid w:val="00D71C35"/>
    <w:rsid w:val="00D75D4D"/>
    <w:rsid w:val="00D75E88"/>
    <w:rsid w:val="00D77D17"/>
    <w:rsid w:val="00D80D3B"/>
    <w:rsid w:val="00D82BCB"/>
    <w:rsid w:val="00D82D97"/>
    <w:rsid w:val="00D8339E"/>
    <w:rsid w:val="00D83545"/>
    <w:rsid w:val="00D837C9"/>
    <w:rsid w:val="00D855DF"/>
    <w:rsid w:val="00D956E1"/>
    <w:rsid w:val="00D9625C"/>
    <w:rsid w:val="00DA151F"/>
    <w:rsid w:val="00DA1AF1"/>
    <w:rsid w:val="00DA2C9F"/>
    <w:rsid w:val="00DA400C"/>
    <w:rsid w:val="00DB0988"/>
    <w:rsid w:val="00DB0DC2"/>
    <w:rsid w:val="00DB1258"/>
    <w:rsid w:val="00DB15B2"/>
    <w:rsid w:val="00DB1C30"/>
    <w:rsid w:val="00DB38F3"/>
    <w:rsid w:val="00DB602D"/>
    <w:rsid w:val="00DB7C90"/>
    <w:rsid w:val="00DC1120"/>
    <w:rsid w:val="00DC2551"/>
    <w:rsid w:val="00DC53B9"/>
    <w:rsid w:val="00DD1BFC"/>
    <w:rsid w:val="00DD1EAE"/>
    <w:rsid w:val="00DD201E"/>
    <w:rsid w:val="00DD3C56"/>
    <w:rsid w:val="00DD40BD"/>
    <w:rsid w:val="00DD447F"/>
    <w:rsid w:val="00DD6ED6"/>
    <w:rsid w:val="00DE26C6"/>
    <w:rsid w:val="00DE341F"/>
    <w:rsid w:val="00DE4B44"/>
    <w:rsid w:val="00DE588D"/>
    <w:rsid w:val="00DE6323"/>
    <w:rsid w:val="00DF01A2"/>
    <w:rsid w:val="00DF248C"/>
    <w:rsid w:val="00DF2CCC"/>
    <w:rsid w:val="00DF3FD7"/>
    <w:rsid w:val="00E01B02"/>
    <w:rsid w:val="00E01B9A"/>
    <w:rsid w:val="00E03633"/>
    <w:rsid w:val="00E07FCB"/>
    <w:rsid w:val="00E104B7"/>
    <w:rsid w:val="00E1092E"/>
    <w:rsid w:val="00E1127A"/>
    <w:rsid w:val="00E1287E"/>
    <w:rsid w:val="00E12D9B"/>
    <w:rsid w:val="00E2151E"/>
    <w:rsid w:val="00E229C3"/>
    <w:rsid w:val="00E261A3"/>
    <w:rsid w:val="00E27E25"/>
    <w:rsid w:val="00E304DD"/>
    <w:rsid w:val="00E31F06"/>
    <w:rsid w:val="00E363DC"/>
    <w:rsid w:val="00E37BA9"/>
    <w:rsid w:val="00E37EF1"/>
    <w:rsid w:val="00E4156C"/>
    <w:rsid w:val="00E41FFC"/>
    <w:rsid w:val="00E43545"/>
    <w:rsid w:val="00E43BA3"/>
    <w:rsid w:val="00E43EF7"/>
    <w:rsid w:val="00E448E2"/>
    <w:rsid w:val="00E474E8"/>
    <w:rsid w:val="00E521F7"/>
    <w:rsid w:val="00E536CE"/>
    <w:rsid w:val="00E55FC6"/>
    <w:rsid w:val="00E56A64"/>
    <w:rsid w:val="00E57887"/>
    <w:rsid w:val="00E61144"/>
    <w:rsid w:val="00E6151E"/>
    <w:rsid w:val="00E62860"/>
    <w:rsid w:val="00E63ECB"/>
    <w:rsid w:val="00E70D5B"/>
    <w:rsid w:val="00E712F4"/>
    <w:rsid w:val="00E71BA6"/>
    <w:rsid w:val="00E7275C"/>
    <w:rsid w:val="00E7327D"/>
    <w:rsid w:val="00E762FE"/>
    <w:rsid w:val="00E77E73"/>
    <w:rsid w:val="00E83B4B"/>
    <w:rsid w:val="00E83E02"/>
    <w:rsid w:val="00E8442D"/>
    <w:rsid w:val="00E86983"/>
    <w:rsid w:val="00E87E5C"/>
    <w:rsid w:val="00E91EF3"/>
    <w:rsid w:val="00E92A30"/>
    <w:rsid w:val="00E9507D"/>
    <w:rsid w:val="00E95B57"/>
    <w:rsid w:val="00E9684F"/>
    <w:rsid w:val="00E972E7"/>
    <w:rsid w:val="00E9750D"/>
    <w:rsid w:val="00E97541"/>
    <w:rsid w:val="00EA0959"/>
    <w:rsid w:val="00EA0B6A"/>
    <w:rsid w:val="00EA145B"/>
    <w:rsid w:val="00EA567C"/>
    <w:rsid w:val="00EA5A7A"/>
    <w:rsid w:val="00EA64A1"/>
    <w:rsid w:val="00EA7C2A"/>
    <w:rsid w:val="00EB18D9"/>
    <w:rsid w:val="00EB2758"/>
    <w:rsid w:val="00EC070F"/>
    <w:rsid w:val="00EC227A"/>
    <w:rsid w:val="00EC2C66"/>
    <w:rsid w:val="00EC3933"/>
    <w:rsid w:val="00EC4CF5"/>
    <w:rsid w:val="00EC65A3"/>
    <w:rsid w:val="00ED01AE"/>
    <w:rsid w:val="00ED1DB5"/>
    <w:rsid w:val="00ED2799"/>
    <w:rsid w:val="00ED2C5C"/>
    <w:rsid w:val="00ED34A3"/>
    <w:rsid w:val="00ED5A96"/>
    <w:rsid w:val="00ED69C6"/>
    <w:rsid w:val="00ED7C80"/>
    <w:rsid w:val="00EE1193"/>
    <w:rsid w:val="00EE1C34"/>
    <w:rsid w:val="00EE1D22"/>
    <w:rsid w:val="00EF08C5"/>
    <w:rsid w:val="00EF0906"/>
    <w:rsid w:val="00EF4038"/>
    <w:rsid w:val="00EF5176"/>
    <w:rsid w:val="00EF76C7"/>
    <w:rsid w:val="00F006D1"/>
    <w:rsid w:val="00F019C8"/>
    <w:rsid w:val="00F02A74"/>
    <w:rsid w:val="00F02E93"/>
    <w:rsid w:val="00F0515B"/>
    <w:rsid w:val="00F06641"/>
    <w:rsid w:val="00F06667"/>
    <w:rsid w:val="00F076E0"/>
    <w:rsid w:val="00F07CF8"/>
    <w:rsid w:val="00F109FC"/>
    <w:rsid w:val="00F10C91"/>
    <w:rsid w:val="00F1448F"/>
    <w:rsid w:val="00F17569"/>
    <w:rsid w:val="00F21282"/>
    <w:rsid w:val="00F213E9"/>
    <w:rsid w:val="00F23924"/>
    <w:rsid w:val="00F23B64"/>
    <w:rsid w:val="00F310F7"/>
    <w:rsid w:val="00F330B0"/>
    <w:rsid w:val="00F3344A"/>
    <w:rsid w:val="00F33775"/>
    <w:rsid w:val="00F337A5"/>
    <w:rsid w:val="00F338B6"/>
    <w:rsid w:val="00F3448C"/>
    <w:rsid w:val="00F346D4"/>
    <w:rsid w:val="00F34B84"/>
    <w:rsid w:val="00F36AE4"/>
    <w:rsid w:val="00F40BC4"/>
    <w:rsid w:val="00F40E01"/>
    <w:rsid w:val="00F434C5"/>
    <w:rsid w:val="00F474EC"/>
    <w:rsid w:val="00F51E2F"/>
    <w:rsid w:val="00F5392C"/>
    <w:rsid w:val="00F53C3C"/>
    <w:rsid w:val="00F62FF1"/>
    <w:rsid w:val="00F631D8"/>
    <w:rsid w:val="00F64CE9"/>
    <w:rsid w:val="00F65A51"/>
    <w:rsid w:val="00F70FBD"/>
    <w:rsid w:val="00F74091"/>
    <w:rsid w:val="00F76CBF"/>
    <w:rsid w:val="00F8108F"/>
    <w:rsid w:val="00F81B18"/>
    <w:rsid w:val="00F84569"/>
    <w:rsid w:val="00F84A7C"/>
    <w:rsid w:val="00F864D5"/>
    <w:rsid w:val="00F932DA"/>
    <w:rsid w:val="00F977F5"/>
    <w:rsid w:val="00FA1C5D"/>
    <w:rsid w:val="00FA26A9"/>
    <w:rsid w:val="00FA32B8"/>
    <w:rsid w:val="00FA56D9"/>
    <w:rsid w:val="00FB3477"/>
    <w:rsid w:val="00FB6E8F"/>
    <w:rsid w:val="00FB7D4A"/>
    <w:rsid w:val="00FC609F"/>
    <w:rsid w:val="00FC7800"/>
    <w:rsid w:val="00FC79B0"/>
    <w:rsid w:val="00FD1CDF"/>
    <w:rsid w:val="00FD26DB"/>
    <w:rsid w:val="00FD7720"/>
    <w:rsid w:val="00FE0051"/>
    <w:rsid w:val="00FE5ACC"/>
    <w:rsid w:val="00FE5E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D0A3F5B"/>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character" w:customStyle="1" w:styleId="FooterChar">
    <w:name w:val="Footer Char"/>
    <w:basedOn w:val="DefaultParagraphFont"/>
    <w:link w:val="Footer"/>
    <w:uiPriority w:val="99"/>
    <w:rsid w:val="00067CE4"/>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png"/><Relationship Id="rId21" Type="http://schemas.openxmlformats.org/officeDocument/2006/relationships/image" Target="media/image15.emf"/><Relationship Id="rId34" Type="http://schemas.openxmlformats.org/officeDocument/2006/relationships/hyperlink" Target="https://sgsep.com.au/projects/rental-affordability-index"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hyperlink" Target="https://www.reinsw.com.au/Web/Web/Members/Property_data/Vacancy_Rates_Survey.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hyperlink" Target="https://www.facs.nsw.gov.au/resources/nsw-local-government-housing-kit/chapters/local-government-housing-kit-databas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hyperlink" Target="https://www.facs.nsw.gov.au/resources/statistics/rent-and-sales/dashboard"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header" Target="header1.xml"/><Relationship Id="rId8" Type="http://schemas.openxmlformats.org/officeDocument/2006/relationships/image" Target="media/image2.e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5.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Template>
  <TotalTime>730</TotalTime>
  <Pages>22</Pages>
  <Words>3765</Words>
  <Characters>19793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23511</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Riverina Murray - What's happening in the housing market</dc:title>
  <dc:creator>Laura Yan Guo</dc:creator>
  <cp:lastModifiedBy>JOSHUA YOUKHANA</cp:lastModifiedBy>
  <cp:revision>98</cp:revision>
  <cp:lastPrinted>1900-12-31T14:00:00Z</cp:lastPrinted>
  <dcterms:created xsi:type="dcterms:W3CDTF">2022-12-20T04:23:00Z</dcterms:created>
  <dcterms:modified xsi:type="dcterms:W3CDTF">2023-09-13T04:51:00Z</dcterms:modified>
</cp:coreProperties>
</file>